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C6" w:rsidRDefault="00074BC6" w:rsidP="00196D43">
      <w:pPr>
        <w:tabs>
          <w:tab w:val="left" w:pos="8505"/>
        </w:tabs>
        <w:ind w:right="1700"/>
        <w:jc w:val="center"/>
        <w:rPr>
          <w:b/>
          <w:bCs/>
          <w:sz w:val="32"/>
          <w:szCs w:val="32"/>
        </w:rPr>
      </w:pPr>
      <w:r w:rsidRPr="00196D43">
        <w:rPr>
          <w:b/>
          <w:bCs/>
          <w:sz w:val="32"/>
          <w:szCs w:val="32"/>
        </w:rPr>
        <w:t>Tutela dell’aria: la responsabilità per condotte omissive</w:t>
      </w:r>
    </w:p>
    <w:p w:rsidR="00074BC6" w:rsidRPr="00196D43" w:rsidRDefault="00074BC6" w:rsidP="00196D43">
      <w:pPr>
        <w:tabs>
          <w:tab w:val="left" w:pos="8505"/>
        </w:tabs>
        <w:ind w:right="1700"/>
        <w:jc w:val="center"/>
        <w:rPr>
          <w:b/>
          <w:bCs/>
          <w:sz w:val="32"/>
          <w:szCs w:val="32"/>
        </w:rPr>
      </w:pPr>
    </w:p>
    <w:p w:rsidR="00074BC6" w:rsidRDefault="00074BC6" w:rsidP="00196D43">
      <w:pPr>
        <w:tabs>
          <w:tab w:val="left" w:pos="8505"/>
        </w:tabs>
        <w:ind w:right="1700"/>
        <w:jc w:val="both"/>
        <w:rPr>
          <w:b/>
          <w:bCs/>
          <w:sz w:val="24"/>
          <w:szCs w:val="24"/>
        </w:rPr>
      </w:pPr>
      <w:r>
        <w:rPr>
          <w:b/>
          <w:bCs/>
          <w:sz w:val="24"/>
          <w:szCs w:val="24"/>
        </w:rPr>
        <w:t xml:space="preserve">             Cesare Parodi – Procura della Repubblica di </w:t>
      </w:r>
      <w:r w:rsidRPr="00196D43">
        <w:rPr>
          <w:b/>
          <w:bCs/>
          <w:sz w:val="24"/>
          <w:szCs w:val="24"/>
        </w:rPr>
        <w:t>Torino</w:t>
      </w:r>
      <w:r>
        <w:rPr>
          <w:b/>
          <w:bCs/>
          <w:sz w:val="24"/>
          <w:szCs w:val="24"/>
        </w:rPr>
        <w:t xml:space="preserve"> </w:t>
      </w:r>
    </w:p>
    <w:p w:rsidR="00074BC6" w:rsidRPr="00E90466" w:rsidRDefault="00074BC6" w:rsidP="00196D43">
      <w:pPr>
        <w:tabs>
          <w:tab w:val="left" w:pos="8505"/>
        </w:tabs>
        <w:ind w:right="1700"/>
        <w:jc w:val="both"/>
        <w:rPr>
          <w:b/>
          <w:bCs/>
          <w:sz w:val="24"/>
          <w:szCs w:val="24"/>
        </w:rPr>
      </w:pPr>
    </w:p>
    <w:p w:rsidR="00074BC6" w:rsidRDefault="00074BC6" w:rsidP="00196D43">
      <w:pPr>
        <w:tabs>
          <w:tab w:val="left" w:pos="8505"/>
        </w:tabs>
        <w:ind w:right="1700"/>
        <w:jc w:val="both"/>
        <w:rPr>
          <w:b/>
          <w:bCs/>
          <w:sz w:val="24"/>
          <w:szCs w:val="24"/>
        </w:rPr>
      </w:pPr>
    </w:p>
    <w:p w:rsidR="00074BC6" w:rsidRPr="00E204E6" w:rsidRDefault="00074BC6" w:rsidP="006E3E26">
      <w:pPr>
        <w:pStyle w:val="ListParagraph"/>
        <w:numPr>
          <w:ilvl w:val="0"/>
          <w:numId w:val="5"/>
        </w:numPr>
        <w:tabs>
          <w:tab w:val="left" w:pos="8505"/>
        </w:tabs>
        <w:ind w:right="1133"/>
        <w:jc w:val="both"/>
        <w:rPr>
          <w:b/>
          <w:bCs/>
          <w:sz w:val="24"/>
          <w:szCs w:val="24"/>
        </w:rPr>
      </w:pPr>
      <w:r>
        <w:rPr>
          <w:b/>
          <w:bCs/>
          <w:sz w:val="24"/>
          <w:szCs w:val="24"/>
        </w:rPr>
        <w:t>Le valutazioni in relazione al reato di cui all’art. 674 c.p.</w:t>
      </w:r>
    </w:p>
    <w:p w:rsidR="00074BC6" w:rsidRPr="00E90466" w:rsidRDefault="00074BC6" w:rsidP="000D509F">
      <w:pPr>
        <w:tabs>
          <w:tab w:val="left" w:pos="8505"/>
        </w:tabs>
        <w:ind w:right="1133"/>
        <w:jc w:val="both"/>
        <w:rPr>
          <w:b/>
          <w:bCs/>
          <w:sz w:val="24"/>
          <w:szCs w:val="24"/>
        </w:rPr>
      </w:pPr>
    </w:p>
    <w:p w:rsidR="00074BC6" w:rsidRPr="00EF4EA3" w:rsidRDefault="00074BC6" w:rsidP="000D509F">
      <w:pPr>
        <w:tabs>
          <w:tab w:val="left" w:pos="8505"/>
        </w:tabs>
        <w:ind w:right="1133"/>
        <w:jc w:val="both"/>
        <w:rPr>
          <w:sz w:val="24"/>
          <w:szCs w:val="24"/>
        </w:rPr>
      </w:pPr>
      <w:r w:rsidRPr="00EF4EA3">
        <w:rPr>
          <w:sz w:val="24"/>
          <w:szCs w:val="24"/>
        </w:rPr>
        <w:t>Per molt</w:t>
      </w:r>
      <w:r>
        <w:rPr>
          <w:sz w:val="24"/>
          <w:szCs w:val="24"/>
        </w:rPr>
        <w:t>o</w:t>
      </w:r>
      <w:r w:rsidRPr="00EF4EA3">
        <w:rPr>
          <w:sz w:val="24"/>
          <w:szCs w:val="24"/>
        </w:rPr>
        <w:t xml:space="preserve"> tempo la g</w:t>
      </w:r>
      <w:r>
        <w:rPr>
          <w:sz w:val="24"/>
          <w:szCs w:val="24"/>
        </w:rPr>
        <w:t>iurisprudenza della S.C. non ha</w:t>
      </w:r>
      <w:r w:rsidRPr="00EF4EA3">
        <w:rPr>
          <w:sz w:val="24"/>
          <w:szCs w:val="24"/>
        </w:rPr>
        <w:t xml:space="preserve"> considerato come configurabile il reato di c</w:t>
      </w:r>
      <w:r>
        <w:rPr>
          <w:sz w:val="24"/>
          <w:szCs w:val="24"/>
        </w:rPr>
        <w:t>ui all'art. 674 c.p. nel caso della</w:t>
      </w:r>
      <w:r w:rsidRPr="00EF4EA3">
        <w:rPr>
          <w:sz w:val="24"/>
          <w:szCs w:val="24"/>
        </w:rPr>
        <w:t xml:space="preserve"> </w:t>
      </w:r>
      <w:r>
        <w:rPr>
          <w:sz w:val="24"/>
          <w:szCs w:val="24"/>
        </w:rPr>
        <w:t>condotta</w:t>
      </w:r>
      <w:r w:rsidRPr="00EF4EA3">
        <w:rPr>
          <w:sz w:val="24"/>
          <w:szCs w:val="24"/>
        </w:rPr>
        <w:t xml:space="preserve"> </w:t>
      </w:r>
      <w:r>
        <w:rPr>
          <w:sz w:val="24"/>
          <w:szCs w:val="24"/>
        </w:rPr>
        <w:t>che consista</w:t>
      </w:r>
      <w:r w:rsidRPr="00EF4EA3">
        <w:rPr>
          <w:sz w:val="24"/>
          <w:szCs w:val="24"/>
        </w:rPr>
        <w:t xml:space="preserve"> soltanto nell'omettere l'apprestamento di mezzi idonei a  far  sì  che  le  cose atte ad offendere, imbrattare o molestare persone, benché depositate in luogo privato, si riversassero in luogo di pubblico transito. </w:t>
      </w:r>
      <w:r w:rsidRPr="00EF4EA3">
        <w:rPr>
          <w:rStyle w:val="FootnoteReference"/>
          <w:sz w:val="24"/>
          <w:szCs w:val="24"/>
        </w:rPr>
        <w:footnoteReference w:id="1"/>
      </w:r>
      <w:r w:rsidRPr="00EF4EA3">
        <w:rPr>
          <w:sz w:val="24"/>
          <w:szCs w:val="24"/>
        </w:rPr>
        <w:t xml:space="preserve">  </w:t>
      </w:r>
    </w:p>
    <w:p w:rsidR="00074BC6" w:rsidRPr="00EF4EA3" w:rsidRDefault="00074BC6" w:rsidP="000D509F">
      <w:pPr>
        <w:tabs>
          <w:tab w:val="left" w:pos="8505"/>
        </w:tabs>
        <w:ind w:right="1133"/>
        <w:jc w:val="both"/>
        <w:rPr>
          <w:b/>
          <w:bCs/>
          <w:sz w:val="24"/>
          <w:szCs w:val="24"/>
        </w:rPr>
      </w:pPr>
      <w:r w:rsidRPr="00EF4EA3">
        <w:rPr>
          <w:sz w:val="24"/>
          <w:szCs w:val="24"/>
        </w:rPr>
        <w:t>Ai fini della configurabilità del reato si riteneva pertanto necessaria un</w:t>
      </w:r>
      <w:r>
        <w:rPr>
          <w:sz w:val="24"/>
          <w:szCs w:val="24"/>
        </w:rPr>
        <w:t>a condotta attiva, non potendo</w:t>
      </w:r>
      <w:r w:rsidRPr="00EF4EA3">
        <w:rPr>
          <w:sz w:val="24"/>
          <w:szCs w:val="24"/>
        </w:rPr>
        <w:t xml:space="preserve"> considerare sufficiente ad</w:t>
      </w:r>
      <w:r w:rsidRPr="00EF4EA3">
        <w:rPr>
          <w:b/>
          <w:bCs/>
          <w:sz w:val="24"/>
          <w:szCs w:val="24"/>
        </w:rPr>
        <w:t xml:space="preserve"> </w:t>
      </w:r>
      <w:r w:rsidRPr="00EF4EA3">
        <w:rPr>
          <w:sz w:val="24"/>
          <w:szCs w:val="24"/>
        </w:rPr>
        <w:t>integrare l'elemento materiale  previsto  da  tale norma incriminatrice l'omesso apprestamento dei mezzi  idonei  a  impedire il suddetto evento;</w:t>
      </w:r>
      <w:r w:rsidRPr="00EF4EA3">
        <w:rPr>
          <w:rStyle w:val="FootnoteReference"/>
          <w:sz w:val="24"/>
          <w:szCs w:val="24"/>
        </w:rPr>
        <w:footnoteReference w:id="2"/>
      </w:r>
      <w:r w:rsidRPr="00EF4EA3">
        <w:rPr>
          <w:sz w:val="24"/>
          <w:szCs w:val="24"/>
        </w:rPr>
        <w:t xml:space="preserve"> </w:t>
      </w:r>
      <w:r>
        <w:rPr>
          <w:sz w:val="24"/>
          <w:szCs w:val="24"/>
        </w:rPr>
        <w:t xml:space="preserve">una </w:t>
      </w:r>
      <w:r w:rsidRPr="00EF4EA3">
        <w:rPr>
          <w:sz w:val="24"/>
          <w:szCs w:val="24"/>
        </w:rPr>
        <w:t xml:space="preserve">condotta attiva tale da manifestarsi quindi </w:t>
      </w:r>
      <w:r>
        <w:rPr>
          <w:sz w:val="24"/>
          <w:szCs w:val="24"/>
        </w:rPr>
        <w:t>come espressione</w:t>
      </w:r>
      <w:r w:rsidRPr="00EF4EA3">
        <w:rPr>
          <w:sz w:val="24"/>
          <w:szCs w:val="24"/>
        </w:rPr>
        <w:t xml:space="preserve"> di un cosciente e volonta</w:t>
      </w:r>
      <w:r>
        <w:rPr>
          <w:sz w:val="24"/>
          <w:szCs w:val="24"/>
        </w:rPr>
        <w:t>rio  lancio o  versamento delle</w:t>
      </w:r>
      <w:r w:rsidRPr="00EF4EA3">
        <w:rPr>
          <w:sz w:val="24"/>
          <w:szCs w:val="24"/>
        </w:rPr>
        <w:t xml:space="preserve"> cose </w:t>
      </w:r>
      <w:r w:rsidRPr="00EF4EA3">
        <w:rPr>
          <w:i/>
          <w:iCs/>
          <w:sz w:val="24"/>
          <w:szCs w:val="24"/>
        </w:rPr>
        <w:t>de  loco ad  locum</w:t>
      </w:r>
      <w:r w:rsidRPr="00EF4EA3">
        <w:rPr>
          <w:sz w:val="24"/>
          <w:szCs w:val="24"/>
        </w:rPr>
        <w:t>.</w:t>
      </w:r>
      <w:r w:rsidRPr="00EF4EA3">
        <w:rPr>
          <w:rStyle w:val="FootnoteReference"/>
          <w:sz w:val="24"/>
          <w:szCs w:val="24"/>
        </w:rPr>
        <w:footnoteReference w:id="3"/>
      </w:r>
      <w:r w:rsidRPr="00EF4EA3">
        <w:rPr>
          <w:b/>
          <w:bCs/>
          <w:sz w:val="24"/>
          <w:szCs w:val="24"/>
        </w:rPr>
        <w:t xml:space="preserve"> </w:t>
      </w:r>
    </w:p>
    <w:p w:rsidR="00074BC6" w:rsidRDefault="00074BC6" w:rsidP="000D509F">
      <w:pPr>
        <w:tabs>
          <w:tab w:val="left" w:pos="8505"/>
        </w:tabs>
        <w:ind w:right="1133"/>
        <w:jc w:val="both"/>
        <w:rPr>
          <w:sz w:val="24"/>
          <w:szCs w:val="24"/>
        </w:rPr>
      </w:pPr>
      <w:r w:rsidRPr="00EF4EA3">
        <w:rPr>
          <w:sz w:val="24"/>
          <w:szCs w:val="24"/>
        </w:rPr>
        <w:t>Una prima apertura</w:t>
      </w:r>
      <w:r>
        <w:rPr>
          <w:sz w:val="24"/>
          <w:szCs w:val="24"/>
        </w:rPr>
        <w:t>,</w:t>
      </w:r>
      <w:r w:rsidRPr="00EF4EA3">
        <w:rPr>
          <w:sz w:val="24"/>
          <w:szCs w:val="24"/>
        </w:rPr>
        <w:t xml:space="preserve"> in senso contrario a tale tesi</w:t>
      </w:r>
      <w:r>
        <w:rPr>
          <w:sz w:val="24"/>
          <w:szCs w:val="24"/>
        </w:rPr>
        <w:t>,</w:t>
      </w:r>
      <w:r w:rsidRPr="00EF4EA3">
        <w:rPr>
          <w:sz w:val="24"/>
          <w:szCs w:val="24"/>
        </w:rPr>
        <w:t xml:space="preserve"> è ravvisa</w:t>
      </w:r>
      <w:r>
        <w:rPr>
          <w:sz w:val="24"/>
          <w:szCs w:val="24"/>
        </w:rPr>
        <w:t xml:space="preserve">bile in una decisione che ha </w:t>
      </w:r>
      <w:r w:rsidRPr="00EF4EA3">
        <w:rPr>
          <w:sz w:val="24"/>
          <w:szCs w:val="24"/>
        </w:rPr>
        <w:t>affrontato il tema della responsab</w:t>
      </w:r>
      <w:r>
        <w:rPr>
          <w:sz w:val="24"/>
          <w:szCs w:val="24"/>
        </w:rPr>
        <w:t xml:space="preserve">ilità di un assessore comunale </w:t>
      </w:r>
      <w:r w:rsidRPr="00EF4EA3">
        <w:rPr>
          <w:sz w:val="24"/>
          <w:szCs w:val="24"/>
        </w:rPr>
        <w:t>alla nettezza urbana per i reati di cui agli artt. 10 e 25 d.P.R. 915/1982 (realizzazione e g</w:t>
      </w:r>
      <w:r>
        <w:rPr>
          <w:sz w:val="24"/>
          <w:szCs w:val="24"/>
        </w:rPr>
        <w:t>estione di discarica abusiva) e 674 c.p. (</w:t>
      </w:r>
      <w:r w:rsidRPr="00EF4EA3">
        <w:rPr>
          <w:sz w:val="24"/>
          <w:szCs w:val="24"/>
        </w:rPr>
        <w:t>emissioni  di  fumo atte a molestare le persone</w:t>
      </w:r>
      <w:r>
        <w:rPr>
          <w:sz w:val="24"/>
          <w:szCs w:val="24"/>
        </w:rPr>
        <w:t>):</w:t>
      </w:r>
      <w:r w:rsidRPr="00EF4EA3">
        <w:rPr>
          <w:sz w:val="24"/>
          <w:szCs w:val="24"/>
        </w:rPr>
        <w:t xml:space="preserve"> </w:t>
      </w:r>
      <w:smartTag w:uri="urn:schemas-microsoft-com:office:smarttags" w:element="PersonName">
        <w:smartTagPr>
          <w:attr w:name="ProductID" w:val="la S.C"/>
        </w:smartTagPr>
        <w:r w:rsidRPr="00EF4EA3">
          <w:rPr>
            <w:sz w:val="24"/>
            <w:szCs w:val="24"/>
          </w:rPr>
          <w:t>la S.C</w:t>
        </w:r>
      </w:smartTag>
      <w:r w:rsidRPr="00EF4EA3">
        <w:rPr>
          <w:sz w:val="24"/>
          <w:szCs w:val="24"/>
        </w:rPr>
        <w:t>., al riguardo, h</w:t>
      </w:r>
      <w:r>
        <w:rPr>
          <w:sz w:val="24"/>
          <w:szCs w:val="24"/>
        </w:rPr>
        <w:t>a riconosciuto la sussistenza della</w:t>
      </w:r>
      <w:r w:rsidRPr="00EF4EA3">
        <w:rPr>
          <w:sz w:val="24"/>
          <w:szCs w:val="24"/>
        </w:rPr>
        <w:t xml:space="preserve"> responsabilità </w:t>
      </w:r>
      <w:r>
        <w:rPr>
          <w:sz w:val="24"/>
          <w:szCs w:val="24"/>
        </w:rPr>
        <w:t xml:space="preserve">in capo all’imputato </w:t>
      </w:r>
      <w:r w:rsidRPr="00EF4EA3">
        <w:rPr>
          <w:sz w:val="24"/>
          <w:szCs w:val="24"/>
        </w:rPr>
        <w:t xml:space="preserve">sul presupposto della sussistenza del generale obbligo di impedire, per la  sua  qualifica, </w:t>
      </w:r>
      <w:r>
        <w:rPr>
          <w:sz w:val="24"/>
          <w:szCs w:val="24"/>
        </w:rPr>
        <w:t>gli</w:t>
      </w:r>
      <w:r w:rsidRPr="00EF4EA3">
        <w:rPr>
          <w:b/>
          <w:bCs/>
          <w:sz w:val="24"/>
          <w:szCs w:val="24"/>
        </w:rPr>
        <w:t xml:space="preserve"> </w:t>
      </w:r>
      <w:r w:rsidRPr="00EF4EA3">
        <w:rPr>
          <w:sz w:val="24"/>
          <w:szCs w:val="24"/>
        </w:rPr>
        <w:t xml:space="preserve">eventi </w:t>
      </w:r>
      <w:r>
        <w:rPr>
          <w:sz w:val="24"/>
          <w:szCs w:val="24"/>
        </w:rPr>
        <w:t>individuati nell’</w:t>
      </w:r>
      <w:r w:rsidRPr="00EF4EA3">
        <w:rPr>
          <w:sz w:val="24"/>
          <w:szCs w:val="24"/>
        </w:rPr>
        <w:t>imputazione</w:t>
      </w:r>
      <w:r>
        <w:rPr>
          <w:sz w:val="24"/>
          <w:szCs w:val="24"/>
        </w:rPr>
        <w:t xml:space="preserve">. </w:t>
      </w:r>
    </w:p>
    <w:p w:rsidR="00074BC6" w:rsidRPr="00EF4EA3" w:rsidRDefault="00074BC6" w:rsidP="000D509F">
      <w:pPr>
        <w:tabs>
          <w:tab w:val="left" w:pos="8505"/>
        </w:tabs>
        <w:ind w:right="1133"/>
        <w:jc w:val="both"/>
        <w:rPr>
          <w:sz w:val="24"/>
          <w:szCs w:val="24"/>
        </w:rPr>
      </w:pPr>
      <w:r>
        <w:rPr>
          <w:sz w:val="24"/>
          <w:szCs w:val="24"/>
        </w:rPr>
        <w:t xml:space="preserve">Questi </w:t>
      </w:r>
      <w:r w:rsidRPr="00EF4EA3">
        <w:rPr>
          <w:sz w:val="24"/>
          <w:szCs w:val="24"/>
        </w:rPr>
        <w:t>in concreto aveva omesso di esercit</w:t>
      </w:r>
      <w:r>
        <w:rPr>
          <w:sz w:val="24"/>
          <w:szCs w:val="24"/>
        </w:rPr>
        <w:t>are la dovuta vigilanza su</w:t>
      </w:r>
      <w:r w:rsidRPr="00EF4EA3">
        <w:rPr>
          <w:sz w:val="24"/>
          <w:szCs w:val="24"/>
        </w:rPr>
        <w:t>llo svolgimento del servizio.</w:t>
      </w:r>
      <w:r w:rsidRPr="00EF4EA3">
        <w:rPr>
          <w:rStyle w:val="FootnoteReference"/>
          <w:sz w:val="24"/>
          <w:szCs w:val="24"/>
        </w:rPr>
        <w:footnoteReference w:id="4"/>
      </w:r>
    </w:p>
    <w:p w:rsidR="00074BC6" w:rsidRDefault="00074BC6" w:rsidP="000D509F">
      <w:pPr>
        <w:tabs>
          <w:tab w:val="left" w:pos="8505"/>
        </w:tabs>
        <w:ind w:right="1133"/>
        <w:jc w:val="both"/>
        <w:rPr>
          <w:sz w:val="24"/>
          <w:szCs w:val="24"/>
        </w:rPr>
      </w:pPr>
      <w:r w:rsidRPr="00EF4EA3">
        <w:rPr>
          <w:sz w:val="24"/>
          <w:szCs w:val="24"/>
        </w:rPr>
        <w:t xml:space="preserve">L’occasione per un ripensamento </w:t>
      </w:r>
      <w:r>
        <w:rPr>
          <w:sz w:val="24"/>
          <w:szCs w:val="24"/>
        </w:rPr>
        <w:t>sul tema,</w:t>
      </w:r>
      <w:r w:rsidRPr="00EF4EA3">
        <w:rPr>
          <w:sz w:val="24"/>
          <w:szCs w:val="24"/>
        </w:rPr>
        <w:t xml:space="preserve"> si è concretizzata con una recente decisione della S.C.</w:t>
      </w:r>
      <w:r w:rsidRPr="00EF4EA3">
        <w:rPr>
          <w:rStyle w:val="FootnoteReference"/>
          <w:sz w:val="24"/>
          <w:szCs w:val="24"/>
        </w:rPr>
        <w:footnoteReference w:id="5"/>
      </w:r>
      <w:r>
        <w:rPr>
          <w:sz w:val="24"/>
          <w:szCs w:val="24"/>
        </w:rPr>
        <w:t xml:space="preserve">: </w:t>
      </w:r>
      <w:smartTag w:uri="urn:schemas-microsoft-com:office:smarttags" w:element="PersonName">
        <w:smartTagPr>
          <w:attr w:name="ProductID" w:val="la Cassazione"/>
        </w:smartTagPr>
        <w:r>
          <w:rPr>
            <w:sz w:val="24"/>
            <w:szCs w:val="24"/>
          </w:rPr>
          <w:t>la Cassazione</w:t>
        </w:r>
      </w:smartTag>
      <w:r>
        <w:rPr>
          <w:sz w:val="24"/>
          <w:szCs w:val="24"/>
        </w:rPr>
        <w:t xml:space="preserve"> è stata</w:t>
      </w:r>
      <w:r w:rsidRPr="00EF4EA3">
        <w:rPr>
          <w:sz w:val="24"/>
          <w:szCs w:val="24"/>
        </w:rPr>
        <w:t xml:space="preserve"> chiamata a pronunciarsi in relazione alla condanna del legale rappresentante di una azienda in conseguenza del “versamento” in un’area portuale di polveri di cemento</w:t>
      </w:r>
      <w:r>
        <w:rPr>
          <w:sz w:val="24"/>
          <w:szCs w:val="24"/>
        </w:rPr>
        <w:t>,</w:t>
      </w:r>
      <w:r w:rsidRPr="00EF4EA3">
        <w:rPr>
          <w:sz w:val="24"/>
          <w:szCs w:val="24"/>
        </w:rPr>
        <w:t xml:space="preserve"> atte ad imbrattare le civili abitazioni site nella zona adiacente il porto e a molestare le persone residenti in detta zona.  </w:t>
      </w:r>
    </w:p>
    <w:p w:rsidR="00074BC6" w:rsidRDefault="00074BC6" w:rsidP="000D509F">
      <w:pPr>
        <w:tabs>
          <w:tab w:val="left" w:pos="8505"/>
        </w:tabs>
        <w:ind w:right="1133"/>
        <w:jc w:val="both"/>
        <w:rPr>
          <w:sz w:val="24"/>
          <w:szCs w:val="24"/>
        </w:rPr>
      </w:pPr>
      <w:r>
        <w:rPr>
          <w:sz w:val="24"/>
          <w:szCs w:val="24"/>
        </w:rPr>
        <w:t xml:space="preserve">In particolare, si riteneva che tali polveri fossero </w:t>
      </w:r>
      <w:r w:rsidRPr="00EF4EA3">
        <w:rPr>
          <w:sz w:val="24"/>
          <w:szCs w:val="24"/>
        </w:rPr>
        <w:t>state disperse durante</w:t>
      </w:r>
      <w:r>
        <w:rPr>
          <w:sz w:val="24"/>
          <w:szCs w:val="24"/>
        </w:rPr>
        <w:t xml:space="preserve"> le varie fasi del</w:t>
      </w:r>
      <w:r w:rsidRPr="00EF4EA3">
        <w:rPr>
          <w:sz w:val="24"/>
          <w:szCs w:val="24"/>
        </w:rPr>
        <w:t xml:space="preserve">  trasporto del clinker (una sostanza sabbiosa utilizzata per la produzione del cemento) dalle navi che approvvigionavano l’azie</w:t>
      </w:r>
      <w:r>
        <w:rPr>
          <w:sz w:val="24"/>
          <w:szCs w:val="24"/>
        </w:rPr>
        <w:t>nda ai silos d'immagazzinamento, nel tragitto</w:t>
      </w:r>
      <w:r w:rsidRPr="00EF4EA3">
        <w:rPr>
          <w:sz w:val="24"/>
          <w:szCs w:val="24"/>
        </w:rPr>
        <w:t xml:space="preserve"> dai silos alle autocisterne che trasportavano la sostanza alle imprese destinatarie del prodotto, </w:t>
      </w:r>
      <w:r>
        <w:rPr>
          <w:sz w:val="24"/>
          <w:szCs w:val="24"/>
        </w:rPr>
        <w:t>ed in ultimo</w:t>
      </w:r>
      <w:r w:rsidRPr="00EF4EA3">
        <w:rPr>
          <w:sz w:val="24"/>
          <w:szCs w:val="24"/>
        </w:rPr>
        <w:t xml:space="preserve"> </w:t>
      </w:r>
      <w:r>
        <w:rPr>
          <w:sz w:val="24"/>
          <w:szCs w:val="24"/>
        </w:rPr>
        <w:t>nel corso del</w:t>
      </w:r>
      <w:r w:rsidRPr="00EF4EA3">
        <w:rPr>
          <w:sz w:val="24"/>
          <w:szCs w:val="24"/>
        </w:rPr>
        <w:t>la periodica attività di pulitura dei filtri.</w:t>
      </w:r>
      <w:r>
        <w:rPr>
          <w:sz w:val="24"/>
          <w:szCs w:val="24"/>
        </w:rPr>
        <w:t xml:space="preserve"> </w:t>
      </w:r>
    </w:p>
    <w:p w:rsidR="00074BC6" w:rsidRDefault="00074BC6" w:rsidP="000D509F">
      <w:pPr>
        <w:tabs>
          <w:tab w:val="left" w:pos="8505"/>
        </w:tabs>
        <w:ind w:right="1133"/>
        <w:jc w:val="both"/>
        <w:rPr>
          <w:sz w:val="24"/>
          <w:szCs w:val="24"/>
        </w:rPr>
      </w:pPr>
      <w:r w:rsidRPr="00EF4EA3">
        <w:rPr>
          <w:sz w:val="24"/>
          <w:szCs w:val="24"/>
        </w:rPr>
        <w:t>La rilevanza della menzionata decisione va ben oltre il principio espresso in relazione allo specifico comparto della quale si è occupata: in effetti la stessa ha puntualizzato, in termini generali, una serie di aspetti di a</w:t>
      </w:r>
      <w:r>
        <w:rPr>
          <w:sz w:val="24"/>
          <w:szCs w:val="24"/>
        </w:rPr>
        <w:t>ssoluto rilievo</w:t>
      </w:r>
      <w:r w:rsidRPr="00EF4EA3">
        <w:rPr>
          <w:rStyle w:val="FootnoteReference"/>
          <w:sz w:val="24"/>
          <w:szCs w:val="24"/>
        </w:rPr>
        <w:footnoteReference w:id="6"/>
      </w:r>
      <w:r>
        <w:rPr>
          <w:sz w:val="24"/>
          <w:szCs w:val="24"/>
        </w:rPr>
        <w:t>.</w:t>
      </w:r>
    </w:p>
    <w:p w:rsidR="00074BC6" w:rsidRPr="00EF4EA3" w:rsidRDefault="00074BC6" w:rsidP="000D509F">
      <w:pPr>
        <w:tabs>
          <w:tab w:val="left" w:pos="8505"/>
        </w:tabs>
        <w:ind w:right="1133"/>
        <w:jc w:val="both"/>
        <w:rPr>
          <w:sz w:val="24"/>
          <w:szCs w:val="24"/>
        </w:rPr>
      </w:pPr>
    </w:p>
    <w:p w:rsidR="00074BC6" w:rsidRPr="00EF4EA3" w:rsidRDefault="00074BC6" w:rsidP="000D509F">
      <w:pPr>
        <w:tabs>
          <w:tab w:val="left" w:pos="8505"/>
        </w:tabs>
        <w:ind w:right="1133"/>
        <w:jc w:val="both"/>
        <w:rPr>
          <w:sz w:val="24"/>
          <w:szCs w:val="24"/>
        </w:rPr>
      </w:pPr>
      <w:r w:rsidRPr="00EF4EA3">
        <w:rPr>
          <w:sz w:val="24"/>
          <w:szCs w:val="24"/>
        </w:rPr>
        <w:t>In primo luogo</w:t>
      </w:r>
      <w:r>
        <w:rPr>
          <w:sz w:val="24"/>
          <w:szCs w:val="24"/>
        </w:rPr>
        <w:t>,</w:t>
      </w:r>
      <w:r w:rsidRPr="00EF4EA3">
        <w:rPr>
          <w:sz w:val="24"/>
          <w:szCs w:val="24"/>
        </w:rPr>
        <w:t xml:space="preserve"> </w:t>
      </w:r>
      <w:smartTag w:uri="urn:schemas-microsoft-com:office:smarttags" w:element="PersonName">
        <w:smartTagPr>
          <w:attr w:name="ProductID" w:val="la S.C."/>
        </w:smartTagPr>
        <w:r w:rsidRPr="00EF4EA3">
          <w:rPr>
            <w:sz w:val="24"/>
            <w:szCs w:val="24"/>
          </w:rPr>
          <w:t>la S.C.</w:t>
        </w:r>
      </w:smartTag>
      <w:r>
        <w:rPr>
          <w:sz w:val="24"/>
          <w:szCs w:val="24"/>
        </w:rPr>
        <w:t xml:space="preserve"> ha proceduto all’inquadramento</w:t>
      </w:r>
      <w:r w:rsidRPr="00EF4EA3">
        <w:rPr>
          <w:sz w:val="24"/>
          <w:szCs w:val="24"/>
        </w:rPr>
        <w:t xml:space="preserve"> della diffusione di polveri nell’ambito della due distinte fattispecie nelle quali il menzionato reato risulta articolato: </w:t>
      </w:r>
      <w:r>
        <w:rPr>
          <w:sz w:val="24"/>
          <w:szCs w:val="24"/>
        </w:rPr>
        <w:t xml:space="preserve">sono </w:t>
      </w:r>
      <w:r w:rsidRPr="00EF4EA3">
        <w:rPr>
          <w:sz w:val="24"/>
          <w:szCs w:val="24"/>
        </w:rPr>
        <w:t>ipotesi accomunate dalla stesso evento di pericolo (attitudine a offendere, i</w:t>
      </w:r>
      <w:r>
        <w:rPr>
          <w:sz w:val="24"/>
          <w:szCs w:val="24"/>
        </w:rPr>
        <w:t xml:space="preserve">mbrattare o molestare persone) </w:t>
      </w:r>
      <w:r w:rsidRPr="00EF4EA3">
        <w:rPr>
          <w:sz w:val="24"/>
          <w:szCs w:val="24"/>
        </w:rPr>
        <w:t>che</w:t>
      </w:r>
      <w:r>
        <w:rPr>
          <w:sz w:val="24"/>
          <w:szCs w:val="24"/>
        </w:rPr>
        <w:t xml:space="preserve"> </w:t>
      </w:r>
      <w:r w:rsidRPr="00EF4EA3">
        <w:rPr>
          <w:sz w:val="24"/>
          <w:szCs w:val="24"/>
        </w:rPr>
        <w:t xml:space="preserve">tuttavia </w:t>
      </w:r>
      <w:r>
        <w:rPr>
          <w:sz w:val="24"/>
          <w:szCs w:val="24"/>
        </w:rPr>
        <w:t>si</w:t>
      </w:r>
      <w:r w:rsidRPr="00EF4EA3">
        <w:rPr>
          <w:sz w:val="24"/>
          <w:szCs w:val="24"/>
        </w:rPr>
        <w:t xml:space="preserve"> distinguerebbero</w:t>
      </w:r>
      <w:r w:rsidRPr="00EF4EA3">
        <w:rPr>
          <w:i/>
          <w:iCs/>
          <w:sz w:val="24"/>
          <w:szCs w:val="24"/>
        </w:rPr>
        <w:t xml:space="preserve"> “per la condotta (che nel primo caso si configura come gettare o versare, e nel secondo caso consiste nel provocare emissioni) e per l'oggetto materiale del reato (che nel primo caso può essere qualsiasi cosa e nel secondo caso coincide con gas, vapori o fumi, purché si tratti sempre di</w:t>
      </w:r>
      <w:r>
        <w:rPr>
          <w:i/>
          <w:iCs/>
          <w:sz w:val="24"/>
          <w:szCs w:val="24"/>
        </w:rPr>
        <w:t xml:space="preserve"> cose con attitudine offensiva)</w:t>
      </w:r>
      <w:r w:rsidRPr="00EF4EA3">
        <w:rPr>
          <w:i/>
          <w:iCs/>
          <w:sz w:val="24"/>
          <w:szCs w:val="24"/>
        </w:rPr>
        <w:t>”</w:t>
      </w:r>
      <w:r>
        <w:rPr>
          <w:i/>
          <w:iCs/>
          <w:sz w:val="24"/>
          <w:szCs w:val="24"/>
        </w:rPr>
        <w:t>.</w:t>
      </w:r>
    </w:p>
    <w:p w:rsidR="00074BC6" w:rsidRPr="00EF4EA3" w:rsidRDefault="00074BC6" w:rsidP="000D509F">
      <w:pPr>
        <w:tabs>
          <w:tab w:val="left" w:pos="8505"/>
        </w:tabs>
        <w:ind w:right="1133"/>
        <w:jc w:val="both"/>
        <w:rPr>
          <w:i/>
          <w:iCs/>
          <w:sz w:val="24"/>
          <w:szCs w:val="24"/>
        </w:rPr>
      </w:pPr>
      <w:r w:rsidRPr="00EF4EA3">
        <w:rPr>
          <w:sz w:val="24"/>
          <w:szCs w:val="24"/>
        </w:rPr>
        <w:t>La sentenza esclude che la prima ipote</w:t>
      </w:r>
      <w:r>
        <w:rPr>
          <w:sz w:val="24"/>
          <w:szCs w:val="24"/>
        </w:rPr>
        <w:t xml:space="preserve">si possa essere considerata un </w:t>
      </w:r>
      <w:r w:rsidRPr="00EF4EA3">
        <w:rPr>
          <w:sz w:val="24"/>
          <w:szCs w:val="24"/>
        </w:rPr>
        <w:t>reato di mera c</w:t>
      </w:r>
      <w:r>
        <w:rPr>
          <w:sz w:val="24"/>
          <w:szCs w:val="24"/>
        </w:rPr>
        <w:t xml:space="preserve">ondotta, da contrapporre al secondo comportamento, </w:t>
      </w:r>
      <w:r w:rsidRPr="00EF4EA3">
        <w:rPr>
          <w:sz w:val="24"/>
          <w:szCs w:val="24"/>
        </w:rPr>
        <w:t>qualificabile quale reato di evento a condotta libera, “</w:t>
      </w:r>
      <w:r w:rsidRPr="00EF4EA3">
        <w:rPr>
          <w:i/>
          <w:iCs/>
          <w:sz w:val="24"/>
          <w:szCs w:val="24"/>
        </w:rPr>
        <w:t>in cui l'evento naturalistico (emissione di gas, vapori o fumi) si distingue concettualmente e materialmente dalla condotta che lo provoca (la quale può consistere in qualsiasi azione od omissione).”</w:t>
      </w:r>
    </w:p>
    <w:p w:rsidR="00074BC6" w:rsidRPr="00EF4EA3" w:rsidRDefault="00074BC6" w:rsidP="000D509F">
      <w:pPr>
        <w:tabs>
          <w:tab w:val="left" w:pos="8505"/>
        </w:tabs>
        <w:ind w:right="1133"/>
        <w:jc w:val="both"/>
        <w:rPr>
          <w:i/>
          <w:iCs/>
          <w:sz w:val="24"/>
          <w:szCs w:val="24"/>
        </w:rPr>
      </w:pPr>
      <w:r w:rsidRPr="00EF4EA3">
        <w:rPr>
          <w:sz w:val="24"/>
          <w:szCs w:val="24"/>
        </w:rPr>
        <w:t>In realtà la condotta di "versamento" deve essere considerata  strutt</w:t>
      </w:r>
      <w:r>
        <w:rPr>
          <w:sz w:val="24"/>
          <w:szCs w:val="24"/>
        </w:rPr>
        <w:t>uralmente omologa a quella di</w:t>
      </w:r>
      <w:r w:rsidRPr="00EF4EA3">
        <w:rPr>
          <w:sz w:val="24"/>
          <w:szCs w:val="24"/>
        </w:rPr>
        <w:t xml:space="preserve"> "emissione", poiché “</w:t>
      </w:r>
      <w:r w:rsidRPr="00EF4EA3">
        <w:rPr>
          <w:i/>
          <w:iCs/>
          <w:sz w:val="24"/>
          <w:szCs w:val="24"/>
        </w:rPr>
        <w:t>il significato della norma incriminatrice non sarebbe cambiato se il legislatore avesse punito non chiunque "versa", ma chiunque "provoca versamenti" (così come del resto non sarebbe cambiato se invece che punire chiunque "provoca emissioni" avesse punito chiunque "emette")</w:t>
      </w:r>
      <w:r>
        <w:rPr>
          <w:i/>
          <w:iCs/>
          <w:sz w:val="24"/>
          <w:szCs w:val="24"/>
        </w:rPr>
        <w:t>”</w:t>
      </w:r>
      <w:r w:rsidRPr="00EF4EA3">
        <w:rPr>
          <w:i/>
          <w:iCs/>
          <w:sz w:val="24"/>
          <w:szCs w:val="24"/>
        </w:rPr>
        <w:t>.</w:t>
      </w:r>
    </w:p>
    <w:p w:rsidR="00074BC6" w:rsidRPr="00EF4EA3" w:rsidRDefault="00074BC6" w:rsidP="000D509F">
      <w:pPr>
        <w:tabs>
          <w:tab w:val="left" w:pos="8505"/>
        </w:tabs>
        <w:ind w:right="1133"/>
        <w:jc w:val="both"/>
        <w:rPr>
          <w:sz w:val="24"/>
          <w:szCs w:val="24"/>
        </w:rPr>
      </w:pPr>
      <w:r w:rsidRPr="00EF4EA3">
        <w:rPr>
          <w:sz w:val="24"/>
          <w:szCs w:val="24"/>
        </w:rPr>
        <w:t>Non si tratt</w:t>
      </w:r>
      <w:r>
        <w:rPr>
          <w:sz w:val="24"/>
          <w:szCs w:val="24"/>
        </w:rPr>
        <w:t>a di un’affermazione puramente accademica</w:t>
      </w:r>
      <w:r w:rsidRPr="00EF4EA3">
        <w:rPr>
          <w:sz w:val="24"/>
          <w:szCs w:val="24"/>
        </w:rPr>
        <w:t>, quanto di una statuizione funzionale alla esigenze di tutela espresse dalla norma: in entrambi le ipotesi è ravvisabile un evento (versamento, emissione) distinguibile dalla condotta</w:t>
      </w:r>
      <w:r>
        <w:rPr>
          <w:sz w:val="24"/>
          <w:szCs w:val="24"/>
        </w:rPr>
        <w:t xml:space="preserve"> – attiva o omissiva – </w:t>
      </w:r>
      <w:r w:rsidRPr="00EF4EA3">
        <w:rPr>
          <w:sz w:val="24"/>
          <w:szCs w:val="24"/>
        </w:rPr>
        <w:t xml:space="preserve">che lo provoca. </w:t>
      </w:r>
    </w:p>
    <w:p w:rsidR="00074BC6" w:rsidRDefault="00074BC6" w:rsidP="000D509F">
      <w:pPr>
        <w:tabs>
          <w:tab w:val="left" w:pos="8505"/>
        </w:tabs>
        <w:ind w:right="1133"/>
        <w:jc w:val="both"/>
        <w:rPr>
          <w:sz w:val="24"/>
          <w:szCs w:val="24"/>
        </w:rPr>
      </w:pPr>
      <w:r>
        <w:rPr>
          <w:sz w:val="24"/>
          <w:szCs w:val="24"/>
        </w:rPr>
        <w:t>Dati</w:t>
      </w:r>
      <w:r w:rsidRPr="00EF4EA3">
        <w:rPr>
          <w:sz w:val="24"/>
          <w:szCs w:val="24"/>
        </w:rPr>
        <w:t xml:space="preserve"> tali presupposti</w:t>
      </w:r>
      <w:r>
        <w:rPr>
          <w:sz w:val="24"/>
          <w:szCs w:val="24"/>
        </w:rPr>
        <w:t>,</w:t>
      </w:r>
      <w:r w:rsidRPr="00EF4EA3">
        <w:rPr>
          <w:sz w:val="24"/>
          <w:szCs w:val="24"/>
        </w:rPr>
        <w:t xml:space="preserve"> è possibile affrontare correttamente l’inquadramento della menzionata “diffusione” di polveri nell'atmosfera. </w:t>
      </w:r>
    </w:p>
    <w:p w:rsidR="00074BC6" w:rsidRPr="00EF4EA3" w:rsidRDefault="00074BC6" w:rsidP="000D509F">
      <w:pPr>
        <w:tabs>
          <w:tab w:val="left" w:pos="8505"/>
        </w:tabs>
        <w:ind w:right="1133"/>
        <w:jc w:val="both"/>
        <w:rPr>
          <w:i/>
          <w:iCs/>
          <w:sz w:val="24"/>
          <w:szCs w:val="24"/>
        </w:rPr>
      </w:pPr>
      <w:r w:rsidRPr="00EF4EA3">
        <w:rPr>
          <w:sz w:val="24"/>
          <w:szCs w:val="24"/>
        </w:rPr>
        <w:t>Nel linguaggio corrente “</w:t>
      </w:r>
      <w:r w:rsidRPr="00EF4EA3">
        <w:rPr>
          <w:i/>
          <w:iCs/>
          <w:sz w:val="24"/>
          <w:szCs w:val="24"/>
        </w:rPr>
        <w:t>s'intende per "polvere" un "insieme incoerente di particelle molto minute e leggere di terra arida, detriti, sabbia ecc., che, sollevate e trasportate dal vento, si depositano ovunque". S'intende invece per "fumo" il "residuo gassoso della combustione che trascina in sospensione particelle solide in forma di nuvola grigiastra o bianca</w:t>
      </w:r>
      <w:r w:rsidRPr="00EF4EA3">
        <w:rPr>
          <w:sz w:val="24"/>
          <w:szCs w:val="24"/>
        </w:rPr>
        <w:t>". Ne deriva che “</w:t>
      </w:r>
      <w:r w:rsidRPr="00EF4EA3">
        <w:rPr>
          <w:i/>
          <w:iCs/>
          <w:sz w:val="24"/>
          <w:szCs w:val="24"/>
        </w:rPr>
        <w:t xml:space="preserve"> pur trattandosi sempre di minuscole particelle, il fumo si distingue dalla polvere perché è sempre un prodotto della combustione, sicché la polvere, essendo prodotto di frantumazione, ma non di combustione, non può, essere r</w:t>
      </w:r>
      <w:r>
        <w:rPr>
          <w:i/>
          <w:iCs/>
          <w:sz w:val="24"/>
          <w:szCs w:val="24"/>
        </w:rPr>
        <w:t>icompresa nella nozione di fumo</w:t>
      </w:r>
      <w:r w:rsidRPr="00EF4EA3">
        <w:rPr>
          <w:i/>
          <w:iCs/>
          <w:sz w:val="24"/>
          <w:szCs w:val="24"/>
        </w:rPr>
        <w:t xml:space="preserve">” </w:t>
      </w:r>
      <w:r w:rsidRPr="00EF4EA3">
        <w:rPr>
          <w:rStyle w:val="FootnoteReference"/>
          <w:i/>
          <w:iCs/>
          <w:sz w:val="24"/>
          <w:szCs w:val="24"/>
        </w:rPr>
        <w:footnoteReference w:id="7"/>
      </w:r>
      <w:r>
        <w:rPr>
          <w:i/>
          <w:iCs/>
          <w:sz w:val="24"/>
          <w:szCs w:val="24"/>
        </w:rPr>
        <w:t>.</w:t>
      </w:r>
    </w:p>
    <w:p w:rsidR="00074BC6" w:rsidRDefault="00074BC6" w:rsidP="000D509F">
      <w:pPr>
        <w:tabs>
          <w:tab w:val="left" w:pos="8505"/>
        </w:tabs>
        <w:ind w:right="1133"/>
        <w:jc w:val="both"/>
        <w:rPr>
          <w:sz w:val="24"/>
          <w:szCs w:val="24"/>
        </w:rPr>
      </w:pPr>
      <w:r w:rsidRPr="00EF4EA3">
        <w:rPr>
          <w:sz w:val="24"/>
          <w:szCs w:val="24"/>
        </w:rPr>
        <w:t>Per tali ragioni, quindi, la diffusione di polveri nell'atmosfera deve essere ritenuta versamento di cose</w:t>
      </w:r>
      <w:r>
        <w:rPr>
          <w:sz w:val="24"/>
          <w:szCs w:val="24"/>
        </w:rPr>
        <w:t>,</w:t>
      </w:r>
      <w:r w:rsidRPr="00EF4EA3">
        <w:rPr>
          <w:sz w:val="24"/>
          <w:szCs w:val="24"/>
        </w:rPr>
        <w:t xml:space="preserve"> ai sensi della prima ipotesi dell'art.</w:t>
      </w:r>
      <w:r>
        <w:rPr>
          <w:sz w:val="24"/>
          <w:szCs w:val="24"/>
        </w:rPr>
        <w:t xml:space="preserve"> </w:t>
      </w:r>
      <w:r w:rsidRPr="00EF4EA3">
        <w:rPr>
          <w:sz w:val="24"/>
          <w:szCs w:val="24"/>
        </w:rPr>
        <w:t>674 c.p.</w:t>
      </w:r>
      <w:r>
        <w:rPr>
          <w:sz w:val="24"/>
          <w:szCs w:val="24"/>
        </w:rPr>
        <w:t xml:space="preserve">, e </w:t>
      </w:r>
      <w:r w:rsidRPr="00EF4EA3">
        <w:rPr>
          <w:sz w:val="24"/>
          <w:szCs w:val="24"/>
        </w:rPr>
        <w:t>non come em</w:t>
      </w:r>
      <w:r>
        <w:rPr>
          <w:sz w:val="24"/>
          <w:szCs w:val="24"/>
        </w:rPr>
        <w:t>issione di fumo: si gettano solitamente le materie solide, mentre l’atto di versare compete</w:t>
      </w:r>
      <w:r w:rsidRPr="00EF4EA3">
        <w:rPr>
          <w:sz w:val="24"/>
          <w:szCs w:val="24"/>
        </w:rPr>
        <w:t xml:space="preserve"> </w:t>
      </w:r>
      <w:r>
        <w:rPr>
          <w:sz w:val="24"/>
          <w:szCs w:val="24"/>
        </w:rPr>
        <w:t xml:space="preserve">alle </w:t>
      </w:r>
      <w:r w:rsidRPr="00EF4EA3">
        <w:rPr>
          <w:sz w:val="24"/>
          <w:szCs w:val="24"/>
        </w:rPr>
        <w:t xml:space="preserve">materie liquide o fluide, </w:t>
      </w:r>
      <w:r>
        <w:rPr>
          <w:sz w:val="24"/>
          <w:szCs w:val="24"/>
        </w:rPr>
        <w:t>che possono arrivare a comprendere anche composizioni</w:t>
      </w:r>
      <w:r w:rsidRPr="00EF4EA3">
        <w:rPr>
          <w:sz w:val="24"/>
          <w:szCs w:val="24"/>
        </w:rPr>
        <w:t xml:space="preserve"> solide</w:t>
      </w:r>
      <w:r>
        <w:rPr>
          <w:sz w:val="24"/>
          <w:szCs w:val="24"/>
        </w:rPr>
        <w:t xml:space="preserve"> specifiche, quali sostanze </w:t>
      </w:r>
      <w:r w:rsidRPr="00EF4EA3">
        <w:rPr>
          <w:sz w:val="24"/>
          <w:szCs w:val="24"/>
        </w:rPr>
        <w:t>ghiaiose, sabbiose o polverose.</w:t>
      </w:r>
      <w:r w:rsidRPr="00EF4EA3">
        <w:rPr>
          <w:rStyle w:val="FootnoteReference"/>
          <w:sz w:val="24"/>
          <w:szCs w:val="24"/>
        </w:rPr>
        <w:footnoteReference w:id="8"/>
      </w:r>
    </w:p>
    <w:p w:rsidR="00074BC6" w:rsidRPr="00EF4EA3" w:rsidRDefault="00074BC6" w:rsidP="000D509F">
      <w:pPr>
        <w:tabs>
          <w:tab w:val="left" w:pos="8505"/>
        </w:tabs>
        <w:ind w:right="1133"/>
        <w:jc w:val="both"/>
        <w:rPr>
          <w:sz w:val="24"/>
          <w:szCs w:val="24"/>
        </w:rPr>
      </w:pPr>
    </w:p>
    <w:p w:rsidR="00074BC6" w:rsidRPr="00EF4EA3" w:rsidRDefault="00074BC6" w:rsidP="000D509F">
      <w:pPr>
        <w:tabs>
          <w:tab w:val="left" w:pos="8505"/>
        </w:tabs>
        <w:ind w:right="1133"/>
        <w:jc w:val="both"/>
        <w:rPr>
          <w:sz w:val="24"/>
          <w:szCs w:val="24"/>
        </w:rPr>
      </w:pPr>
      <w:r w:rsidRPr="00EF4EA3">
        <w:rPr>
          <w:sz w:val="24"/>
          <w:szCs w:val="24"/>
        </w:rPr>
        <w:t>Il secondo tema di grande rilievo affrontato riguarda proprio la compatibilità delle condotta previst</w:t>
      </w:r>
      <w:r>
        <w:rPr>
          <w:sz w:val="24"/>
          <w:szCs w:val="24"/>
        </w:rPr>
        <w:t xml:space="preserve">a per la prima ipotesi di reato – </w:t>
      </w:r>
      <w:r w:rsidRPr="00EF4EA3">
        <w:rPr>
          <w:sz w:val="24"/>
          <w:szCs w:val="24"/>
        </w:rPr>
        <w:t>il versamento di pol</w:t>
      </w:r>
      <w:r>
        <w:rPr>
          <w:sz w:val="24"/>
          <w:szCs w:val="24"/>
        </w:rPr>
        <w:t xml:space="preserve">veri ed in generale per lo </w:t>
      </w:r>
      <w:r w:rsidRPr="00EF4EA3">
        <w:rPr>
          <w:sz w:val="24"/>
          <w:szCs w:val="24"/>
        </w:rPr>
        <w:t xml:space="preserve">spargimento di oggetti – con la disposizione dell'art. 40 cpv. c.p., </w:t>
      </w:r>
      <w:r>
        <w:rPr>
          <w:sz w:val="24"/>
          <w:szCs w:val="24"/>
        </w:rPr>
        <w:t>secondo cui</w:t>
      </w:r>
      <w:r w:rsidRPr="00EF4EA3">
        <w:rPr>
          <w:sz w:val="24"/>
          <w:szCs w:val="24"/>
        </w:rPr>
        <w:t xml:space="preserve"> non impedire un evento che si ha l'obbligo giuridico di impedire equivale a cagionarlo. Disposizione che non sarebbe estensib</w:t>
      </w:r>
      <w:r>
        <w:rPr>
          <w:sz w:val="24"/>
          <w:szCs w:val="24"/>
        </w:rPr>
        <w:t>ile ai reati di condotta attiva, ma esclusivamente ai  reati di evento</w:t>
      </w:r>
      <w:r w:rsidRPr="00EF4EA3">
        <w:rPr>
          <w:sz w:val="24"/>
          <w:szCs w:val="24"/>
        </w:rPr>
        <w:t xml:space="preserve"> nei quali “</w:t>
      </w:r>
      <w:r w:rsidRPr="00EF4EA3">
        <w:rPr>
          <w:i/>
          <w:iCs/>
          <w:sz w:val="24"/>
          <w:szCs w:val="24"/>
        </w:rPr>
        <w:t>il disvalore penale è concentrato nell'evento, essendo invece indifferenti le modalità comportamentali che lo cagionano.”</w:t>
      </w:r>
    </w:p>
    <w:p w:rsidR="00074BC6" w:rsidRPr="00EF4EA3" w:rsidRDefault="00074BC6" w:rsidP="000D509F">
      <w:pPr>
        <w:pStyle w:val="NormalWeb"/>
        <w:tabs>
          <w:tab w:val="left" w:pos="8505"/>
        </w:tabs>
        <w:spacing w:before="0" w:beforeAutospacing="0" w:after="0" w:afterAutospacing="0"/>
        <w:ind w:right="1133"/>
        <w:jc w:val="both"/>
        <w:rPr>
          <w:rFonts w:ascii="Times New Roman" w:cs="Times New Roman"/>
        </w:rPr>
      </w:pPr>
      <w:r w:rsidRPr="00EF4EA3">
        <w:rPr>
          <w:rFonts w:ascii="Times New Roman" w:cs="Times New Roman"/>
        </w:rPr>
        <w:t xml:space="preserve">In realtà l’ipotesi contravvenzionale in oggetto – così come quella di cui all'art. 279, 2° co., d.lgs.  152/2006, in tema </w:t>
      </w:r>
      <w:r>
        <w:rPr>
          <w:rFonts w:ascii="Times New Roman" w:cs="Times New Roman"/>
        </w:rPr>
        <w:t xml:space="preserve">di emissioni “extratabellari” – </w:t>
      </w:r>
      <w:r w:rsidRPr="00EF4EA3">
        <w:rPr>
          <w:rFonts w:ascii="Times New Roman" w:cs="Times New Roman"/>
        </w:rPr>
        <w:t>deve essere considerata quale reato “</w:t>
      </w:r>
      <w:r w:rsidRPr="00EF4EA3">
        <w:rPr>
          <w:rFonts w:ascii="Times New Roman" w:cs="Times New Roman"/>
          <w:i/>
          <w:iCs/>
        </w:rPr>
        <w:t>di evento pericoloso, dove l'evento può essere cagionato da una condotta attiva od omissiva, dolosa o colposa: nel caso della contravvenzione codicistica si tratta di un evento di pericolo concreto, consistente nell'attitudine delle cose o delle emissioni a imbrattare, offendere o molestare le persone, che deve essere concretamente accertata dal giudice; nelle contravvenzioni previste dalla leggi speciali si tratta di un evento di pericolo astratto o presunto, che il legislatore collega tipicamente a ogni superamento dei limiti tabellari.”</w:t>
      </w:r>
      <w:r w:rsidRPr="00EF4EA3">
        <w:rPr>
          <w:rFonts w:ascii="Times New Roman" w:cs="Times New Roman"/>
        </w:rPr>
        <w:t xml:space="preserve"> </w:t>
      </w:r>
    </w:p>
    <w:p w:rsidR="00074BC6" w:rsidRPr="00EF4EA3" w:rsidRDefault="00074BC6" w:rsidP="000D509F">
      <w:pPr>
        <w:pStyle w:val="NormalWeb"/>
        <w:tabs>
          <w:tab w:val="left" w:pos="8505"/>
        </w:tabs>
        <w:spacing w:before="0" w:beforeAutospacing="0" w:after="0" w:afterAutospacing="0"/>
        <w:ind w:right="1133"/>
        <w:jc w:val="both"/>
        <w:rPr>
          <w:rFonts w:ascii="Times New Roman" w:cs="Times New Roman"/>
        </w:rPr>
      </w:pPr>
      <w:r w:rsidRPr="00EF4EA3">
        <w:rPr>
          <w:rFonts w:ascii="Times New Roman" w:cs="Times New Roman"/>
        </w:rPr>
        <w:t xml:space="preserve">Logico corollario di tale assunto è costituito da fatto che il reato </w:t>
      </w:r>
      <w:r w:rsidRPr="00EF4EA3">
        <w:rPr>
          <w:rFonts w:ascii="Times New Roman" w:cs="Times New Roman"/>
          <w:i/>
          <w:iCs/>
        </w:rPr>
        <w:t>de quo</w:t>
      </w:r>
      <w:r w:rsidRPr="00EF4EA3">
        <w:rPr>
          <w:rFonts w:ascii="Times New Roman" w:cs="Times New Roman"/>
        </w:rPr>
        <w:t xml:space="preserve"> </w:t>
      </w:r>
      <w:r>
        <w:rPr>
          <w:rFonts w:ascii="Times New Roman" w:cs="Times New Roman"/>
        </w:rPr>
        <w:t>possa</w:t>
      </w:r>
      <w:r w:rsidRPr="00EF4EA3">
        <w:rPr>
          <w:rFonts w:ascii="Times New Roman" w:cs="Times New Roman"/>
        </w:rPr>
        <w:t xml:space="preserve"> </w:t>
      </w:r>
      <w:r>
        <w:rPr>
          <w:rFonts w:ascii="Times New Roman" w:cs="Times New Roman"/>
        </w:rPr>
        <w:t>essere visto come</w:t>
      </w:r>
      <w:r w:rsidRPr="00EF4EA3">
        <w:rPr>
          <w:rFonts w:ascii="Times New Roman" w:cs="Times New Roman"/>
        </w:rPr>
        <w:t xml:space="preserve"> reato commissivo mediante omissione (c.d. reato omissivo improprio)</w:t>
      </w:r>
      <w:r>
        <w:rPr>
          <w:rFonts w:ascii="Times New Roman" w:cs="Times New Roman"/>
        </w:rPr>
        <w:t>,</w:t>
      </w:r>
      <w:r w:rsidRPr="00EF4EA3">
        <w:rPr>
          <w:rFonts w:ascii="Times New Roman" w:cs="Times New Roman"/>
        </w:rPr>
        <w:t xml:space="preserve"> ogni qual volta il pericolo concreto per la pubblica incolumità derivi (anche) dalla omissione (dolosa o colposa) del soggetto che aveva l'obbligo giuridico di evitarlo.</w:t>
      </w:r>
    </w:p>
    <w:p w:rsidR="00074BC6" w:rsidRPr="00EF4EA3" w:rsidRDefault="00074BC6" w:rsidP="000D509F">
      <w:pPr>
        <w:tabs>
          <w:tab w:val="left" w:pos="8505"/>
        </w:tabs>
        <w:ind w:right="1133"/>
        <w:jc w:val="both"/>
        <w:rPr>
          <w:sz w:val="24"/>
          <w:szCs w:val="24"/>
        </w:rPr>
      </w:pPr>
      <w:r w:rsidRPr="00EF4EA3">
        <w:rPr>
          <w:sz w:val="24"/>
          <w:szCs w:val="24"/>
        </w:rPr>
        <w:t>Deve ritenersi pacificamente configurabile una responsabilità a titolo omissivo, nei casi nei quali “</w:t>
      </w:r>
      <w:r w:rsidRPr="00EF4EA3">
        <w:rPr>
          <w:i/>
          <w:iCs/>
          <w:sz w:val="24"/>
          <w:szCs w:val="24"/>
        </w:rPr>
        <w:t xml:space="preserve">l'ordinamento attribuisce una posizione di garanzia nei confronti dell'interesse collettivo alla salute e alla incolumità”; </w:t>
      </w:r>
      <w:r w:rsidRPr="00EF4EA3">
        <w:rPr>
          <w:sz w:val="24"/>
          <w:szCs w:val="24"/>
        </w:rPr>
        <w:t>in questo senso</w:t>
      </w:r>
      <w:r w:rsidRPr="00EF4EA3">
        <w:rPr>
          <w:i/>
          <w:iCs/>
          <w:sz w:val="24"/>
          <w:szCs w:val="24"/>
        </w:rPr>
        <w:t xml:space="preserve"> “il titolare di una impresa potenzialmente pericolosa, deve evitare di mettere a repentaglio quell'interesse, ovverosia ha l'obbligo di evitare ogni evento di pericolo.”</w:t>
      </w:r>
      <w:r w:rsidRPr="00EF4EA3">
        <w:rPr>
          <w:sz w:val="24"/>
          <w:szCs w:val="24"/>
        </w:rPr>
        <w:t xml:space="preserve">  </w:t>
      </w:r>
    </w:p>
    <w:p w:rsidR="00074BC6" w:rsidRPr="00EF4EA3" w:rsidRDefault="00074BC6" w:rsidP="000D509F">
      <w:pPr>
        <w:tabs>
          <w:tab w:val="left" w:pos="8505"/>
        </w:tabs>
        <w:ind w:right="1133"/>
        <w:jc w:val="both"/>
        <w:rPr>
          <w:sz w:val="24"/>
          <w:szCs w:val="24"/>
        </w:rPr>
      </w:pPr>
      <w:r>
        <w:rPr>
          <w:sz w:val="24"/>
          <w:szCs w:val="24"/>
        </w:rPr>
        <w:t xml:space="preserve">Il caso specifico affrontato nella decisione verteva sui doveri gravanti in capo al </w:t>
      </w:r>
      <w:r w:rsidRPr="00EF4EA3">
        <w:rPr>
          <w:sz w:val="24"/>
          <w:szCs w:val="24"/>
        </w:rPr>
        <w:t xml:space="preserve">legale rappresentante di una azienda </w:t>
      </w:r>
      <w:r>
        <w:rPr>
          <w:sz w:val="24"/>
          <w:szCs w:val="24"/>
        </w:rPr>
        <w:t xml:space="preserve">ovvero </w:t>
      </w:r>
      <w:r w:rsidRPr="00EF4EA3">
        <w:rPr>
          <w:sz w:val="24"/>
          <w:szCs w:val="24"/>
        </w:rPr>
        <w:t>l'obbligo di evitare il versamento di polveri o l'emissione di gas, vapori e fumi, in quanto pericolosi per la salute pubblica; il disposto dell’art. 674 c.p., come integrato dall'art. 40 cpv. c.p., mette a carico di tale soggetto non solo ogni condotta attiva (generalmente dolosa), ma anche ogni condotta omissiva (in genere colposa) che provochi l'evento pericoloso</w:t>
      </w:r>
      <w:r>
        <w:rPr>
          <w:sz w:val="24"/>
          <w:szCs w:val="24"/>
        </w:rPr>
        <w:t xml:space="preserve"> poiché </w:t>
      </w:r>
      <w:r>
        <w:rPr>
          <w:i/>
          <w:iCs/>
          <w:sz w:val="24"/>
          <w:szCs w:val="24"/>
        </w:rPr>
        <w:t>“</w:t>
      </w:r>
      <w:r w:rsidRPr="00EF4EA3">
        <w:rPr>
          <w:i/>
          <w:iCs/>
          <w:sz w:val="24"/>
          <w:szCs w:val="24"/>
        </w:rPr>
        <w:t xml:space="preserve">quello che conta, infatti, secondo la </w:t>
      </w:r>
      <w:r w:rsidRPr="00A00510">
        <w:rPr>
          <w:sz w:val="24"/>
          <w:szCs w:val="24"/>
        </w:rPr>
        <w:t>ratio</w:t>
      </w:r>
      <w:r w:rsidRPr="00EF4EA3">
        <w:rPr>
          <w:i/>
          <w:iCs/>
          <w:sz w:val="24"/>
          <w:szCs w:val="24"/>
        </w:rPr>
        <w:t xml:space="preserve"> dell</w:t>
      </w:r>
      <w:r>
        <w:rPr>
          <w:i/>
          <w:iCs/>
          <w:sz w:val="24"/>
          <w:szCs w:val="24"/>
        </w:rPr>
        <w:t>’</w:t>
      </w:r>
      <w:r w:rsidRPr="00EF4EA3">
        <w:rPr>
          <w:i/>
          <w:iCs/>
          <w:sz w:val="24"/>
          <w:szCs w:val="24"/>
        </w:rPr>
        <w:t>istituto</w:t>
      </w:r>
      <w:r>
        <w:rPr>
          <w:i/>
          <w:iCs/>
          <w:sz w:val="24"/>
          <w:szCs w:val="24"/>
        </w:rPr>
        <w:t xml:space="preserve"> [</w:t>
      </w:r>
      <w:r w:rsidRPr="00EF4EA3">
        <w:rPr>
          <w:i/>
          <w:iCs/>
          <w:sz w:val="24"/>
          <w:szCs w:val="24"/>
        </w:rPr>
        <w:t>…</w:t>
      </w:r>
      <w:r>
        <w:rPr>
          <w:rFonts w:ascii="Times New (W1)" w:hAnsi="Times New (W1)" w:cs="Times New (W1)"/>
          <w:i/>
          <w:iCs/>
          <w:sz w:val="24"/>
          <w:szCs w:val="24"/>
        </w:rPr>
        <w:t>]</w:t>
      </w:r>
      <w:r>
        <w:rPr>
          <w:i/>
          <w:iCs/>
          <w:sz w:val="24"/>
          <w:szCs w:val="24"/>
        </w:rPr>
        <w:t xml:space="preserve"> </w:t>
      </w:r>
      <w:r w:rsidRPr="00EF4EA3">
        <w:rPr>
          <w:i/>
          <w:iCs/>
          <w:sz w:val="24"/>
          <w:szCs w:val="24"/>
        </w:rPr>
        <w:t>è il risultato da evitare, non la condotta, sicché il legislatore si preoccupa di imporre al titolare della posizione di garanzia soltanto un obbligo di risultato, indipendentemente da ogni vincolo di comportamento</w:t>
      </w:r>
      <w:r w:rsidRPr="00EF4EA3">
        <w:rPr>
          <w:sz w:val="24"/>
          <w:szCs w:val="24"/>
        </w:rPr>
        <w:t>”.</w:t>
      </w:r>
    </w:p>
    <w:p w:rsidR="00074BC6" w:rsidRDefault="00074BC6" w:rsidP="000D509F">
      <w:pPr>
        <w:tabs>
          <w:tab w:val="left" w:pos="8505"/>
        </w:tabs>
        <w:ind w:right="1133"/>
        <w:jc w:val="both"/>
        <w:rPr>
          <w:sz w:val="24"/>
          <w:szCs w:val="24"/>
        </w:rPr>
      </w:pPr>
      <w:r w:rsidRPr="00EF4EA3">
        <w:rPr>
          <w:sz w:val="24"/>
          <w:szCs w:val="24"/>
        </w:rPr>
        <w:t>La norma incriminatrice tende pertanto ad evitare l'evento pericoloso per la salute pubblica, indipendentemente dalle modalità comportamentali (positive o negative) con cui si realizza il versamento o l'emissione.</w:t>
      </w:r>
    </w:p>
    <w:p w:rsidR="00074BC6" w:rsidRPr="00EF4EA3" w:rsidRDefault="00074BC6" w:rsidP="000D509F">
      <w:pPr>
        <w:tabs>
          <w:tab w:val="left" w:pos="8505"/>
        </w:tabs>
        <w:ind w:right="1133"/>
        <w:jc w:val="both"/>
        <w:rPr>
          <w:sz w:val="24"/>
          <w:szCs w:val="24"/>
        </w:rPr>
      </w:pPr>
      <w:r w:rsidRPr="00EF4EA3">
        <w:rPr>
          <w:sz w:val="24"/>
          <w:szCs w:val="24"/>
        </w:rPr>
        <w:t xml:space="preserve"> </w:t>
      </w:r>
    </w:p>
    <w:p w:rsidR="00074BC6" w:rsidRDefault="00074BC6" w:rsidP="000D509F">
      <w:pPr>
        <w:tabs>
          <w:tab w:val="left" w:pos="8505"/>
        </w:tabs>
        <w:ind w:right="1133"/>
        <w:jc w:val="both"/>
        <w:rPr>
          <w:sz w:val="24"/>
          <w:szCs w:val="24"/>
        </w:rPr>
      </w:pPr>
      <w:r w:rsidRPr="00EF4EA3">
        <w:rPr>
          <w:sz w:val="24"/>
          <w:szCs w:val="24"/>
        </w:rPr>
        <w:t>V’è tuttavia un ulteriore passaggio delle argomentazioni della S.C. che deve essere sottolineato ed ap</w:t>
      </w:r>
      <w:r>
        <w:rPr>
          <w:sz w:val="24"/>
          <w:szCs w:val="24"/>
        </w:rPr>
        <w:t>prezzato: in materia ambientale –</w:t>
      </w:r>
      <w:r w:rsidRPr="00EF4EA3">
        <w:rPr>
          <w:sz w:val="24"/>
          <w:szCs w:val="24"/>
        </w:rPr>
        <w:t xml:space="preserve"> per il reato </w:t>
      </w:r>
      <w:r w:rsidRPr="00EF4EA3">
        <w:rPr>
          <w:i/>
          <w:iCs/>
          <w:sz w:val="24"/>
          <w:szCs w:val="24"/>
        </w:rPr>
        <w:t>de quo</w:t>
      </w:r>
      <w:r w:rsidRPr="00EF4EA3">
        <w:rPr>
          <w:sz w:val="24"/>
          <w:szCs w:val="24"/>
        </w:rPr>
        <w:t xml:space="preserve"> come</w:t>
      </w:r>
      <w:r>
        <w:rPr>
          <w:sz w:val="24"/>
          <w:szCs w:val="24"/>
        </w:rPr>
        <w:t xml:space="preserve"> per altre fattispecie analoghe –</w:t>
      </w:r>
      <w:r w:rsidRPr="00EF4EA3">
        <w:rPr>
          <w:sz w:val="24"/>
          <w:szCs w:val="24"/>
        </w:rPr>
        <w:t xml:space="preserve"> il profilo omissivo rileva non tanto in ordine al rapporto di causalità, quanto piuttosto sotto il profilo della colpa: “ </w:t>
      </w:r>
      <w:r w:rsidRPr="00EF4EA3">
        <w:rPr>
          <w:i/>
          <w:iCs/>
          <w:sz w:val="24"/>
          <w:szCs w:val="24"/>
        </w:rPr>
        <w:t xml:space="preserve">Il versamento di polveri in atmosfera </w:t>
      </w:r>
      <w:r>
        <w:rPr>
          <w:i/>
          <w:iCs/>
          <w:sz w:val="24"/>
          <w:szCs w:val="24"/>
        </w:rPr>
        <w:t>[</w:t>
      </w:r>
      <w:r w:rsidRPr="00EF4EA3">
        <w:rPr>
          <w:i/>
          <w:iCs/>
          <w:sz w:val="24"/>
          <w:szCs w:val="24"/>
        </w:rPr>
        <w:t>…</w:t>
      </w:r>
      <w:r>
        <w:rPr>
          <w:rFonts w:ascii="Times New (W1)" w:hAnsi="Times New (W1)" w:cs="Times New (W1)"/>
          <w:i/>
          <w:iCs/>
          <w:sz w:val="24"/>
          <w:szCs w:val="24"/>
        </w:rPr>
        <w:t>]</w:t>
      </w:r>
      <w:r>
        <w:rPr>
          <w:i/>
          <w:iCs/>
          <w:sz w:val="24"/>
          <w:szCs w:val="24"/>
        </w:rPr>
        <w:t xml:space="preserve"> </w:t>
      </w:r>
      <w:r w:rsidRPr="00EF4EA3">
        <w:rPr>
          <w:i/>
          <w:iCs/>
          <w:sz w:val="24"/>
          <w:szCs w:val="24"/>
        </w:rPr>
        <w:t>non è reato necessariamente doloso, ma può essere imputato anche a titolo di colpa, e questa ovviamente può consistere anche nella omissione di cautele doverose</w:t>
      </w:r>
      <w:r>
        <w:rPr>
          <w:sz w:val="24"/>
          <w:szCs w:val="24"/>
        </w:rPr>
        <w:t xml:space="preserve">”. </w:t>
      </w:r>
    </w:p>
    <w:p w:rsidR="00074BC6" w:rsidRPr="00EF4EA3" w:rsidRDefault="00074BC6" w:rsidP="000D509F">
      <w:pPr>
        <w:tabs>
          <w:tab w:val="left" w:pos="8505"/>
        </w:tabs>
        <w:ind w:right="1133"/>
        <w:jc w:val="both"/>
        <w:rPr>
          <w:sz w:val="24"/>
          <w:szCs w:val="24"/>
        </w:rPr>
      </w:pPr>
      <w:r>
        <w:rPr>
          <w:sz w:val="24"/>
          <w:szCs w:val="24"/>
        </w:rPr>
        <w:t>S</w:t>
      </w:r>
      <w:r w:rsidRPr="00EF4EA3">
        <w:rPr>
          <w:sz w:val="24"/>
          <w:szCs w:val="24"/>
        </w:rPr>
        <w:t>i tratterebbe di un reato a condotta mista, in cui l'evento pericoloso del versamento delle polveri in atmosfera è provocato “</w:t>
      </w:r>
      <w:r w:rsidRPr="00EF4EA3">
        <w:rPr>
          <w:i/>
          <w:iCs/>
          <w:sz w:val="24"/>
          <w:szCs w:val="24"/>
        </w:rPr>
        <w:t>sia da una condotta positiva (lo scarico, il trasporto, lo stoccaggio del clinker) sia da una condotta omissiva (la mancata adozione delle cautele doverose)”</w:t>
      </w:r>
      <w:r>
        <w:rPr>
          <w:i/>
          <w:iCs/>
          <w:sz w:val="24"/>
          <w:szCs w:val="24"/>
        </w:rPr>
        <w:t>.</w:t>
      </w:r>
    </w:p>
    <w:p w:rsidR="00074BC6" w:rsidRPr="00EF4EA3" w:rsidRDefault="00074BC6" w:rsidP="000D509F">
      <w:pPr>
        <w:tabs>
          <w:tab w:val="left" w:pos="8505"/>
        </w:tabs>
        <w:ind w:right="1133"/>
        <w:jc w:val="both"/>
        <w:rPr>
          <w:sz w:val="24"/>
          <w:szCs w:val="24"/>
        </w:rPr>
      </w:pPr>
      <w:r w:rsidRPr="00EF4EA3">
        <w:rPr>
          <w:sz w:val="24"/>
          <w:szCs w:val="24"/>
        </w:rPr>
        <w:t>In questo senso il profilo della colpa interferisce in qualche modo col rapporto causale, anche se non vi è ragione di “</w:t>
      </w:r>
      <w:r w:rsidRPr="00EF4EA3">
        <w:rPr>
          <w:i/>
          <w:iCs/>
          <w:sz w:val="24"/>
          <w:szCs w:val="24"/>
        </w:rPr>
        <w:t>escludere l'applicabilità del principio di causalità omissiva nella fattispecie penale di cui si discute. Quello che la disposizione di cui all'art. 40 cpv. c.p. presuppone è soltanto che vi sia un evento che l'imputato ha l'obbligo di evitare; ma questo evento può essere sia di danno, come nell'esempio classico dell'omicidio, sia di pericolo, come appunto nella contravvenzione del versamento di polveri o di altre cose atte ad offendere, imbrattare o molestare persone.”</w:t>
      </w:r>
    </w:p>
    <w:p w:rsidR="00074BC6" w:rsidRDefault="00074BC6" w:rsidP="000D509F">
      <w:pPr>
        <w:tabs>
          <w:tab w:val="left" w:pos="8505"/>
        </w:tabs>
        <w:ind w:right="1133"/>
        <w:jc w:val="both"/>
        <w:rPr>
          <w:sz w:val="24"/>
          <w:szCs w:val="24"/>
        </w:rPr>
      </w:pPr>
      <w:r w:rsidRPr="00EF4EA3">
        <w:rPr>
          <w:sz w:val="24"/>
          <w:szCs w:val="24"/>
        </w:rPr>
        <w:t xml:space="preserve">Di fatto quindi assistiamo, in questo come in analoghe fattispecie, ad una sovrapposizione “logica” tra </w:t>
      </w:r>
      <w:r>
        <w:rPr>
          <w:sz w:val="24"/>
          <w:szCs w:val="24"/>
        </w:rPr>
        <w:t xml:space="preserve">gli </w:t>
      </w:r>
      <w:r w:rsidRPr="00EF4EA3">
        <w:rPr>
          <w:sz w:val="24"/>
          <w:szCs w:val="24"/>
        </w:rPr>
        <w:t>elementi di valutazione sul piano eziologico e</w:t>
      </w:r>
      <w:r>
        <w:rPr>
          <w:sz w:val="24"/>
          <w:szCs w:val="24"/>
        </w:rPr>
        <w:t xml:space="preserve"> quelli</w:t>
      </w:r>
      <w:r w:rsidRPr="00EF4EA3">
        <w:rPr>
          <w:sz w:val="24"/>
          <w:szCs w:val="24"/>
        </w:rPr>
        <w:t xml:space="preserve"> sul piano della sussistenza dell’elemento soggettivo “colpa”. </w:t>
      </w:r>
    </w:p>
    <w:p w:rsidR="00074BC6" w:rsidRPr="00EF4EA3" w:rsidRDefault="00074BC6" w:rsidP="000D509F">
      <w:pPr>
        <w:tabs>
          <w:tab w:val="left" w:pos="8505"/>
        </w:tabs>
        <w:ind w:right="1133"/>
        <w:jc w:val="both"/>
        <w:rPr>
          <w:sz w:val="24"/>
          <w:szCs w:val="24"/>
        </w:rPr>
      </w:pPr>
      <w:r w:rsidRPr="00EF4EA3">
        <w:rPr>
          <w:sz w:val="24"/>
          <w:szCs w:val="24"/>
        </w:rPr>
        <w:t>Sovrapposizione ravvisabile anche in altre contravvenz</w:t>
      </w:r>
      <w:r>
        <w:rPr>
          <w:sz w:val="24"/>
          <w:szCs w:val="24"/>
        </w:rPr>
        <w:t>ioni extracodicistiche, come l’</w:t>
      </w:r>
      <w:r w:rsidRPr="00EF4EA3">
        <w:rPr>
          <w:sz w:val="24"/>
          <w:szCs w:val="24"/>
        </w:rPr>
        <w:t xml:space="preserve">emissione in atmosfera non rispettosa dei limiti fissati dalla normativa statale o regionale (di cui all'art. 25, 3°, d.P.R. 24.5.1988 n. 203, ora sostituito dall'art. 279, 2° co., d.lgs. 3.4.2006 n. 152) o lo scarico di acque reflue industriali senza rispettare i limiti tabellari prestabiliti dalle norme vigenti (di cui all'art. 59, 5° co., d.lgs. 152/1999, ora sostituito dall'art. </w:t>
      </w:r>
      <w:r>
        <w:rPr>
          <w:sz w:val="24"/>
          <w:szCs w:val="24"/>
        </w:rPr>
        <w:t>137, 5° co., d.lgs. 152/2006)</w:t>
      </w:r>
      <w:r w:rsidRPr="00EF4EA3">
        <w:rPr>
          <w:sz w:val="24"/>
          <w:szCs w:val="24"/>
        </w:rPr>
        <w:t xml:space="preserve">. </w:t>
      </w:r>
    </w:p>
    <w:p w:rsidR="00074BC6" w:rsidRPr="00EF4EA3" w:rsidRDefault="00074BC6" w:rsidP="000D509F">
      <w:pPr>
        <w:tabs>
          <w:tab w:val="left" w:pos="8505"/>
        </w:tabs>
        <w:ind w:right="1133"/>
        <w:jc w:val="both"/>
        <w:rPr>
          <w:sz w:val="24"/>
          <w:szCs w:val="24"/>
        </w:rPr>
      </w:pPr>
      <w:r w:rsidRPr="00EF4EA3">
        <w:rPr>
          <w:sz w:val="24"/>
          <w:szCs w:val="24"/>
        </w:rPr>
        <w:t>Osserva la Cassazione che “</w:t>
      </w:r>
      <w:r w:rsidRPr="00EF4EA3">
        <w:rPr>
          <w:i/>
          <w:iCs/>
          <w:sz w:val="24"/>
          <w:szCs w:val="24"/>
        </w:rPr>
        <w:t xml:space="preserve">anche in queste ipotesi la formulazione letterale della norma incriminatrice ("chi non rispetta i valori di emissione stabiliti" secondo il citato art. 25, comma 3; "chiunque </w:t>
      </w:r>
      <w:r>
        <w:rPr>
          <w:i/>
          <w:iCs/>
          <w:sz w:val="24"/>
          <w:szCs w:val="24"/>
        </w:rPr>
        <w:t>[</w:t>
      </w:r>
      <w:r w:rsidRPr="00EF4EA3">
        <w:rPr>
          <w:i/>
          <w:iCs/>
          <w:sz w:val="24"/>
          <w:szCs w:val="24"/>
        </w:rPr>
        <w:t>…</w:t>
      </w:r>
      <w:r>
        <w:rPr>
          <w:rFonts w:ascii="Times New (W1)" w:hAnsi="Times New (W1)" w:cs="Times New (W1)"/>
          <w:i/>
          <w:iCs/>
          <w:sz w:val="24"/>
          <w:szCs w:val="24"/>
        </w:rPr>
        <w:t>]</w:t>
      </w:r>
      <w:r w:rsidRPr="00EF4EA3">
        <w:rPr>
          <w:i/>
          <w:iCs/>
          <w:sz w:val="24"/>
          <w:szCs w:val="24"/>
        </w:rPr>
        <w:t xml:space="preserve"> supera i valori limite fissati", secondo il citato art. 59, comma 5) farebbe pensare a un reato di mera condotta che non lascia spazio alla causalità omissiva. Eppure, nessuno ha mai negato che la contravvenzione possa essere integrata sia con una condotta attiva dolosamente diretta all'evento di pericolo astratto costituito dal superamento dei limiti tabellari, sia con una condotta omissiva che cagioni colposamente lo stesso evento, ad esempio per la mancata manutenzione di un filtro o di un depuratore aziendale, che sono gli apparecchi appositamente predisposti per abbattere i valori di emissione.</w:t>
      </w:r>
      <w:r w:rsidRPr="00EF4EA3">
        <w:rPr>
          <w:sz w:val="24"/>
          <w:szCs w:val="24"/>
        </w:rPr>
        <w:t>“</w:t>
      </w:r>
    </w:p>
    <w:p w:rsidR="00074BC6" w:rsidRPr="00EF4EA3" w:rsidRDefault="00074BC6" w:rsidP="000D509F">
      <w:pPr>
        <w:tabs>
          <w:tab w:val="left" w:pos="8505"/>
        </w:tabs>
        <w:ind w:right="1133"/>
        <w:jc w:val="both"/>
        <w:rPr>
          <w:sz w:val="24"/>
          <w:szCs w:val="24"/>
        </w:rPr>
      </w:pPr>
      <w:r w:rsidRPr="00EF4EA3">
        <w:rPr>
          <w:sz w:val="24"/>
          <w:szCs w:val="24"/>
        </w:rPr>
        <w:t xml:space="preserve">La condotta sanzionata dalla contravvenzione in oggetto potrà pertanto assumere la forma di reato commissivo mediante omissione, ogni qual volta il pericolo concreto per la pubblica incolumità possa derivare (anche) da omissioni (dolose o colpose) del soggetto che aveva l'obbligo giuridico di evitarlo. </w:t>
      </w:r>
    </w:p>
    <w:p w:rsidR="00074BC6" w:rsidRPr="00EF4EA3" w:rsidRDefault="00074BC6" w:rsidP="000D509F">
      <w:pPr>
        <w:tabs>
          <w:tab w:val="left" w:pos="8505"/>
        </w:tabs>
        <w:ind w:right="1133"/>
        <w:jc w:val="both"/>
        <w:rPr>
          <w:sz w:val="24"/>
          <w:szCs w:val="24"/>
        </w:rPr>
      </w:pPr>
      <w:r w:rsidRPr="00EF4EA3">
        <w:rPr>
          <w:sz w:val="24"/>
          <w:szCs w:val="24"/>
        </w:rPr>
        <w:t>Un obbligo che, ovviamente, dovrà essere individuato sulla base della dis</w:t>
      </w:r>
      <w:r>
        <w:rPr>
          <w:sz w:val="24"/>
          <w:szCs w:val="24"/>
        </w:rPr>
        <w:t>ciplina complessiva di settore,</w:t>
      </w:r>
      <w:r w:rsidRPr="00EF4EA3">
        <w:rPr>
          <w:sz w:val="24"/>
          <w:szCs w:val="24"/>
        </w:rPr>
        <w:t xml:space="preserve"> ed in particolare de</w:t>
      </w:r>
      <w:r>
        <w:rPr>
          <w:sz w:val="24"/>
          <w:szCs w:val="24"/>
        </w:rPr>
        <w:t>lle</w:t>
      </w:r>
      <w:r w:rsidRPr="00EF4EA3">
        <w:rPr>
          <w:sz w:val="24"/>
          <w:szCs w:val="24"/>
        </w:rPr>
        <w:t xml:space="preserve"> norme di caute</w:t>
      </w:r>
      <w:r>
        <w:rPr>
          <w:sz w:val="24"/>
          <w:szCs w:val="24"/>
        </w:rPr>
        <w:t xml:space="preserve">la specificamente poste ovvero, </w:t>
      </w:r>
      <w:r w:rsidRPr="00EF4EA3">
        <w:rPr>
          <w:sz w:val="24"/>
          <w:szCs w:val="24"/>
        </w:rPr>
        <w:t>quantomeno, della violazione di indic</w:t>
      </w:r>
      <w:r>
        <w:rPr>
          <w:sz w:val="24"/>
          <w:szCs w:val="24"/>
        </w:rPr>
        <w:t>azioni e prescrizioni tecniche –</w:t>
      </w:r>
      <w:r w:rsidRPr="00EF4EA3">
        <w:rPr>
          <w:sz w:val="24"/>
          <w:szCs w:val="24"/>
        </w:rPr>
        <w:t xml:space="preserve"> individuabili in rel</w:t>
      </w:r>
      <w:r>
        <w:rPr>
          <w:sz w:val="24"/>
          <w:szCs w:val="24"/>
        </w:rPr>
        <w:t xml:space="preserve">azione allo “stato dell’arte” – </w:t>
      </w:r>
      <w:r w:rsidRPr="00EF4EA3">
        <w:rPr>
          <w:sz w:val="24"/>
          <w:szCs w:val="24"/>
        </w:rPr>
        <w:t xml:space="preserve">funzionali a fronteggiare il verificarsi dell’evento descritto della norma.  </w:t>
      </w:r>
    </w:p>
    <w:p w:rsidR="00074BC6" w:rsidRPr="00EF4EA3" w:rsidRDefault="00074BC6" w:rsidP="000D509F">
      <w:pPr>
        <w:tabs>
          <w:tab w:val="left" w:pos="8505"/>
        </w:tabs>
        <w:ind w:right="1133"/>
        <w:jc w:val="both"/>
        <w:rPr>
          <w:sz w:val="24"/>
          <w:szCs w:val="24"/>
        </w:rPr>
      </w:pPr>
    </w:p>
    <w:p w:rsidR="00074BC6" w:rsidRPr="00EF4EA3" w:rsidRDefault="00074BC6" w:rsidP="00EF4EA3">
      <w:pPr>
        <w:tabs>
          <w:tab w:val="left" w:pos="8647"/>
        </w:tabs>
        <w:ind w:right="1133"/>
        <w:jc w:val="both"/>
        <w:rPr>
          <w:sz w:val="24"/>
          <w:szCs w:val="24"/>
        </w:rPr>
      </w:pPr>
    </w:p>
    <w:p w:rsidR="00074BC6" w:rsidRPr="00EF4EA3" w:rsidRDefault="00074BC6" w:rsidP="006B2CBD">
      <w:pPr>
        <w:pStyle w:val="Heading1"/>
        <w:numPr>
          <w:ilvl w:val="0"/>
          <w:numId w:val="5"/>
        </w:numPr>
        <w:tabs>
          <w:tab w:val="left" w:pos="8647"/>
          <w:tab w:val="left" w:pos="9214"/>
        </w:tabs>
        <w:overflowPunct w:val="0"/>
        <w:autoSpaceDE w:val="0"/>
        <w:autoSpaceDN w:val="0"/>
        <w:adjustRightInd w:val="0"/>
        <w:ind w:right="1133"/>
        <w:textAlignment w:val="baseline"/>
      </w:pPr>
      <w:r w:rsidRPr="00EF4EA3">
        <w:t>Valutazione della colpa in materia ambientale e “migliore tecnica disponibile.”</w:t>
      </w:r>
    </w:p>
    <w:p w:rsidR="00074BC6" w:rsidRPr="00EF4EA3" w:rsidRDefault="00074BC6" w:rsidP="00EF4EA3">
      <w:pPr>
        <w:tabs>
          <w:tab w:val="left" w:pos="8647"/>
        </w:tabs>
        <w:ind w:right="1133"/>
        <w:rPr>
          <w:sz w:val="24"/>
          <w:szCs w:val="24"/>
        </w:rPr>
      </w:pPr>
    </w:p>
    <w:p w:rsidR="00074BC6" w:rsidRPr="00EF4EA3" w:rsidRDefault="00074BC6" w:rsidP="00EF4EA3">
      <w:pPr>
        <w:tabs>
          <w:tab w:val="left" w:pos="8647"/>
          <w:tab w:val="left" w:pos="9214"/>
        </w:tabs>
        <w:ind w:right="1133"/>
        <w:jc w:val="both"/>
        <w:rPr>
          <w:sz w:val="24"/>
          <w:szCs w:val="24"/>
        </w:rPr>
      </w:pPr>
      <w:r w:rsidRPr="00EF4EA3">
        <w:rPr>
          <w:sz w:val="24"/>
          <w:szCs w:val="24"/>
        </w:rPr>
        <w:t>Frequentemente il nucleo centrale di valutazione della colpa in materia ambientale deve essere individuato nel momento strettamente ”tecnico/scientifico” della condotta, laddove si consideri come la S.C. abbia costantemente ed univocamente individuato</w:t>
      </w:r>
      <w:r>
        <w:rPr>
          <w:sz w:val="24"/>
          <w:szCs w:val="24"/>
        </w:rPr>
        <w:t>,</w:t>
      </w:r>
      <w:r w:rsidRPr="00EF4EA3">
        <w:rPr>
          <w:sz w:val="24"/>
          <w:szCs w:val="24"/>
        </w:rPr>
        <w:t xml:space="preserve"> quale fondamento della colpa stess</w:t>
      </w:r>
      <w:r>
        <w:rPr>
          <w:sz w:val="24"/>
          <w:szCs w:val="24"/>
        </w:rPr>
        <w:t>a, l’inosservanza di un dovere continuo e positivo di  vigilanza e</w:t>
      </w:r>
      <w:r w:rsidRPr="00EF4EA3">
        <w:rPr>
          <w:sz w:val="24"/>
          <w:szCs w:val="24"/>
        </w:rPr>
        <w:t xml:space="preserve"> controllo </w:t>
      </w:r>
      <w:r>
        <w:rPr>
          <w:sz w:val="24"/>
          <w:szCs w:val="24"/>
        </w:rPr>
        <w:t xml:space="preserve">tale da tradursi nella adozione di sistemi di sicurezza – </w:t>
      </w:r>
      <w:r w:rsidRPr="00EF4EA3">
        <w:rPr>
          <w:sz w:val="24"/>
          <w:szCs w:val="24"/>
        </w:rPr>
        <w:t>sintonici rispetto allo “stato dell’arte</w:t>
      </w:r>
      <w:r>
        <w:rPr>
          <w:sz w:val="24"/>
          <w:szCs w:val="24"/>
        </w:rPr>
        <w:t xml:space="preserve">” ed al progresso tecnologico – </w:t>
      </w:r>
      <w:r w:rsidRPr="00EF4EA3">
        <w:rPr>
          <w:sz w:val="24"/>
          <w:szCs w:val="24"/>
        </w:rPr>
        <w:t>finalizzati a evitare o ridurre forme di inquinamento  oltre  i  limiti legali</w:t>
      </w:r>
      <w:r>
        <w:rPr>
          <w:sz w:val="24"/>
          <w:szCs w:val="24"/>
        </w:rPr>
        <w:t xml:space="preserve"> </w:t>
      </w:r>
      <w:r w:rsidRPr="00EF4EA3">
        <w:rPr>
          <w:rStyle w:val="FootnoteReference"/>
          <w:sz w:val="24"/>
          <w:szCs w:val="24"/>
        </w:rPr>
        <w:footnoteReference w:id="9"/>
      </w:r>
      <w:r>
        <w:rPr>
          <w:sz w:val="24"/>
          <w:szCs w:val="24"/>
        </w:rPr>
        <w:t>.</w:t>
      </w:r>
    </w:p>
    <w:p w:rsidR="00074BC6" w:rsidRPr="00EF4EA3" w:rsidRDefault="00074BC6" w:rsidP="00EF4EA3">
      <w:pPr>
        <w:tabs>
          <w:tab w:val="left" w:pos="8647"/>
          <w:tab w:val="left" w:pos="9214"/>
        </w:tabs>
        <w:ind w:right="1133"/>
        <w:jc w:val="both"/>
        <w:rPr>
          <w:sz w:val="24"/>
          <w:szCs w:val="24"/>
        </w:rPr>
      </w:pPr>
      <w:r w:rsidRPr="00EF4EA3">
        <w:rPr>
          <w:sz w:val="24"/>
          <w:szCs w:val="24"/>
        </w:rPr>
        <w:t xml:space="preserve">Sul tema la Corte si è espressa in termini inequivoci: da un lato il sistema disciplinato dal d.lgs. 152/2006 </w:t>
      </w:r>
      <w:r>
        <w:rPr>
          <w:sz w:val="24"/>
          <w:szCs w:val="24"/>
        </w:rPr>
        <w:t>ammette forme di “inquinamento”</w:t>
      </w:r>
      <w:r w:rsidRPr="00EF4EA3">
        <w:rPr>
          <w:sz w:val="24"/>
          <w:szCs w:val="24"/>
        </w:rPr>
        <w:t xml:space="preserve"> rappresentate dall’immissione di sostanze nell’ambiente entro i limiti previsti dalla legge, dall’altro richiede al soggetto </w:t>
      </w:r>
      <w:r>
        <w:rPr>
          <w:sz w:val="24"/>
          <w:szCs w:val="24"/>
        </w:rPr>
        <w:t>economico</w:t>
      </w:r>
      <w:r w:rsidRPr="00EF4EA3">
        <w:rPr>
          <w:sz w:val="24"/>
          <w:szCs w:val="24"/>
        </w:rPr>
        <w:t xml:space="preserve"> interessato l’adozione di tutte le misure necessarie di prevenzione attinenti ai presidi tecnici, al ciclo produttivo, all'organizzazione del lavoro, alla  costante vigilanza, onde evitare l'evento g</w:t>
      </w:r>
      <w:r>
        <w:rPr>
          <w:sz w:val="24"/>
          <w:szCs w:val="24"/>
        </w:rPr>
        <w:t xml:space="preserve">rave dell'inquinamento oltre i limiti </w:t>
      </w:r>
      <w:r w:rsidRPr="00EF4EA3">
        <w:rPr>
          <w:sz w:val="24"/>
          <w:szCs w:val="24"/>
        </w:rPr>
        <w:t>tabellari, per scongiurare qualsiasi superamento dei valori posti della legg</w:t>
      </w:r>
      <w:r>
        <w:rPr>
          <w:sz w:val="24"/>
          <w:szCs w:val="24"/>
        </w:rPr>
        <w:t>e a tutela di beni fondamentali</w:t>
      </w:r>
      <w:r w:rsidRPr="00EF4EA3">
        <w:rPr>
          <w:sz w:val="24"/>
          <w:szCs w:val="24"/>
        </w:rPr>
        <w:t xml:space="preserve"> quali la salute e l'ambiente</w:t>
      </w:r>
      <w:r>
        <w:rPr>
          <w:sz w:val="24"/>
          <w:szCs w:val="24"/>
        </w:rPr>
        <w:t xml:space="preserve"> </w:t>
      </w:r>
      <w:r w:rsidRPr="00EF4EA3">
        <w:rPr>
          <w:rStyle w:val="FootnoteReference"/>
          <w:sz w:val="24"/>
          <w:szCs w:val="24"/>
        </w:rPr>
        <w:footnoteReference w:id="10"/>
      </w:r>
      <w:r>
        <w:rPr>
          <w:sz w:val="24"/>
          <w:szCs w:val="24"/>
        </w:rPr>
        <w:t>.</w:t>
      </w:r>
      <w:r w:rsidRPr="00EF4EA3">
        <w:rPr>
          <w:sz w:val="24"/>
          <w:szCs w:val="24"/>
        </w:rPr>
        <w:t xml:space="preserve">  </w:t>
      </w:r>
    </w:p>
    <w:p w:rsidR="00074BC6" w:rsidRDefault="00074BC6" w:rsidP="00EF4EA3">
      <w:pPr>
        <w:tabs>
          <w:tab w:val="left" w:pos="8647"/>
          <w:tab w:val="left" w:pos="9214"/>
        </w:tabs>
        <w:ind w:right="1133"/>
        <w:jc w:val="both"/>
        <w:rPr>
          <w:sz w:val="24"/>
          <w:szCs w:val="24"/>
        </w:rPr>
      </w:pPr>
      <w:r w:rsidRPr="00EF4EA3">
        <w:rPr>
          <w:sz w:val="24"/>
          <w:szCs w:val="24"/>
        </w:rPr>
        <w:t>La colpa viene quindi, per s</w:t>
      </w:r>
      <w:r>
        <w:rPr>
          <w:sz w:val="24"/>
          <w:szCs w:val="24"/>
        </w:rPr>
        <w:t>pecifici aspetti, commisurata a</w:t>
      </w:r>
      <w:r w:rsidRPr="00EF4EA3">
        <w:rPr>
          <w:sz w:val="24"/>
          <w:szCs w:val="24"/>
        </w:rPr>
        <w:t>ll’adeguamento (</w:t>
      </w:r>
      <w:r w:rsidRPr="00EF4EA3">
        <w:rPr>
          <w:i/>
          <w:iCs/>
          <w:sz w:val="24"/>
          <w:szCs w:val="24"/>
        </w:rPr>
        <w:t>rectius</w:t>
      </w:r>
      <w:r>
        <w:rPr>
          <w:sz w:val="24"/>
          <w:szCs w:val="24"/>
        </w:rPr>
        <w:t xml:space="preserve"> a</w:t>
      </w:r>
      <w:r w:rsidRPr="00EF4EA3">
        <w:rPr>
          <w:sz w:val="24"/>
          <w:szCs w:val="24"/>
        </w:rPr>
        <w:t xml:space="preserve">l mancato tempestivo adeguamento) </w:t>
      </w:r>
      <w:r>
        <w:rPr>
          <w:sz w:val="24"/>
          <w:szCs w:val="24"/>
        </w:rPr>
        <w:t>nei confronti del</w:t>
      </w:r>
      <w:r w:rsidRPr="00EF4EA3">
        <w:rPr>
          <w:sz w:val="24"/>
          <w:szCs w:val="24"/>
        </w:rPr>
        <w:t xml:space="preserve"> progresso tecnologico. </w:t>
      </w:r>
    </w:p>
    <w:p w:rsidR="00074BC6" w:rsidRPr="00EF4EA3" w:rsidRDefault="00074BC6" w:rsidP="00EF4EA3">
      <w:pPr>
        <w:tabs>
          <w:tab w:val="left" w:pos="8647"/>
          <w:tab w:val="left" w:pos="9214"/>
        </w:tabs>
        <w:ind w:right="1133"/>
        <w:jc w:val="both"/>
        <w:rPr>
          <w:sz w:val="24"/>
          <w:szCs w:val="24"/>
        </w:rPr>
      </w:pPr>
      <w:r w:rsidRPr="00EF4EA3">
        <w:rPr>
          <w:sz w:val="24"/>
          <w:szCs w:val="24"/>
        </w:rPr>
        <w:t>E’ per altro significativo il fatto che se</w:t>
      </w:r>
      <w:r>
        <w:rPr>
          <w:sz w:val="24"/>
          <w:szCs w:val="24"/>
        </w:rPr>
        <w:t>bbene la giurisprudenza abbia elaborato il</w:t>
      </w:r>
      <w:r w:rsidRPr="00EF4EA3">
        <w:rPr>
          <w:sz w:val="24"/>
          <w:szCs w:val="24"/>
        </w:rPr>
        <w:t xml:space="preserve"> ri</w:t>
      </w:r>
      <w:r>
        <w:rPr>
          <w:sz w:val="24"/>
          <w:szCs w:val="24"/>
        </w:rPr>
        <w:t>ferimento allo “stato dell’arte”</w:t>
      </w:r>
      <w:r w:rsidRPr="00EF4EA3">
        <w:rPr>
          <w:sz w:val="24"/>
          <w:szCs w:val="24"/>
        </w:rPr>
        <w:t>, il legislatore ha individuato forme di attivazione in qualche modo ulteriori rispetto a tale principio, imponendo in particolari situazioni l’utilizzo da parte dell’impresa della “migliore tecnica disponibile”.</w:t>
      </w:r>
    </w:p>
    <w:p w:rsidR="00074BC6" w:rsidRPr="00EF4EA3" w:rsidRDefault="00074BC6" w:rsidP="00EF4EA3">
      <w:pPr>
        <w:tabs>
          <w:tab w:val="left" w:pos="8647"/>
          <w:tab w:val="left" w:pos="9214"/>
        </w:tabs>
        <w:ind w:right="1133"/>
        <w:jc w:val="both"/>
        <w:rPr>
          <w:sz w:val="24"/>
          <w:szCs w:val="24"/>
        </w:rPr>
      </w:pPr>
      <w:r w:rsidRPr="00EF4EA3">
        <w:rPr>
          <w:sz w:val="24"/>
          <w:szCs w:val="24"/>
        </w:rPr>
        <w:t>Si rende pertanto indispensabile una disamina delle situazioni giuridicamente rilevanti nelle quali il</w:t>
      </w:r>
      <w:r>
        <w:rPr>
          <w:sz w:val="24"/>
          <w:szCs w:val="24"/>
        </w:rPr>
        <w:t xml:space="preserve"> legislatore ha inteso dettare</w:t>
      </w:r>
      <w:r w:rsidRPr="00EF4EA3">
        <w:rPr>
          <w:sz w:val="24"/>
          <w:szCs w:val="24"/>
        </w:rPr>
        <w:t xml:space="preserve"> tale parametro di valutazione.</w:t>
      </w:r>
    </w:p>
    <w:p w:rsidR="00074BC6" w:rsidRPr="00EF4EA3" w:rsidRDefault="00074BC6" w:rsidP="00EF4EA3">
      <w:pPr>
        <w:tabs>
          <w:tab w:val="left" w:pos="8647"/>
          <w:tab w:val="left" w:pos="9214"/>
        </w:tabs>
        <w:ind w:right="1133"/>
        <w:jc w:val="both"/>
        <w:rPr>
          <w:sz w:val="24"/>
          <w:szCs w:val="24"/>
        </w:rPr>
      </w:pPr>
      <w:r w:rsidRPr="00EF4EA3">
        <w:rPr>
          <w:sz w:val="24"/>
          <w:szCs w:val="24"/>
        </w:rPr>
        <w:t>Una definizione espressa di “miglior tecnologia disponibile”</w:t>
      </w:r>
      <w:r>
        <w:rPr>
          <w:sz w:val="24"/>
          <w:szCs w:val="24"/>
        </w:rPr>
        <w:t>,</w:t>
      </w:r>
      <w:r w:rsidRPr="00EF4EA3">
        <w:rPr>
          <w:sz w:val="24"/>
          <w:szCs w:val="24"/>
        </w:rPr>
        <w:t xml:space="preserve"> in materia ambientale</w:t>
      </w:r>
      <w:r>
        <w:rPr>
          <w:sz w:val="24"/>
          <w:szCs w:val="24"/>
        </w:rPr>
        <w:t>,</w:t>
      </w:r>
      <w:r w:rsidRPr="00EF4EA3">
        <w:rPr>
          <w:sz w:val="24"/>
          <w:szCs w:val="24"/>
        </w:rPr>
        <w:t xml:space="preserve"> era stata introdotta nel sistema</w:t>
      </w:r>
      <w:r>
        <w:rPr>
          <w:sz w:val="24"/>
          <w:szCs w:val="24"/>
        </w:rPr>
        <w:t xml:space="preserve"> legislativo italiano dall’art.</w:t>
      </w:r>
      <w:r w:rsidRPr="00EF4EA3">
        <w:rPr>
          <w:sz w:val="24"/>
          <w:szCs w:val="24"/>
        </w:rPr>
        <w:t xml:space="preserve"> 2 n. 7 d.P.R. 203/1988, in</w:t>
      </w:r>
      <w:r>
        <w:rPr>
          <w:sz w:val="24"/>
          <w:szCs w:val="24"/>
        </w:rPr>
        <w:t xml:space="preserve"> tema di emissioni in atmosfera, intendendo con questo concetto far riferimento al</w:t>
      </w:r>
      <w:r w:rsidRPr="00EF4EA3">
        <w:rPr>
          <w:sz w:val="24"/>
          <w:szCs w:val="24"/>
        </w:rPr>
        <w:t xml:space="preserve"> “</w:t>
      </w:r>
      <w:r w:rsidRPr="00EF4EA3">
        <w:rPr>
          <w:i/>
          <w:iCs/>
          <w:sz w:val="24"/>
          <w:szCs w:val="24"/>
        </w:rPr>
        <w:t>sistema tecnologico adeguatamente verificato e sperimentato che consente il contenimento e/o la riduzione delle emissioni a livelli accettabili per la protezione della salute e dell'ambiente, semprechè l'applicazione di tali misu</w:t>
      </w:r>
      <w:r>
        <w:rPr>
          <w:i/>
          <w:iCs/>
          <w:sz w:val="24"/>
          <w:szCs w:val="24"/>
        </w:rPr>
        <w:t>re non comporti costi eccessivi</w:t>
      </w:r>
      <w:r w:rsidRPr="00EF4EA3">
        <w:rPr>
          <w:i/>
          <w:iCs/>
          <w:sz w:val="24"/>
          <w:szCs w:val="24"/>
        </w:rPr>
        <w:t>”</w:t>
      </w:r>
      <w:r>
        <w:rPr>
          <w:i/>
          <w:iCs/>
          <w:sz w:val="24"/>
          <w:szCs w:val="24"/>
        </w:rPr>
        <w:t>.</w:t>
      </w:r>
      <w:r w:rsidRPr="00EF4EA3">
        <w:rPr>
          <w:sz w:val="24"/>
          <w:szCs w:val="24"/>
        </w:rPr>
        <w:t xml:space="preserve">  </w:t>
      </w:r>
    </w:p>
    <w:p w:rsidR="00074BC6" w:rsidRDefault="00074BC6" w:rsidP="00EF4EA3">
      <w:pPr>
        <w:tabs>
          <w:tab w:val="left" w:pos="8647"/>
          <w:tab w:val="left" w:pos="9214"/>
        </w:tabs>
        <w:ind w:right="1133"/>
        <w:jc w:val="both"/>
        <w:rPr>
          <w:sz w:val="24"/>
          <w:szCs w:val="24"/>
        </w:rPr>
      </w:pPr>
      <w:r w:rsidRPr="00EF4EA3">
        <w:rPr>
          <w:sz w:val="24"/>
          <w:szCs w:val="24"/>
        </w:rPr>
        <w:t xml:space="preserve">La menzionata definizione lasciava tuttavia spazi di valutazione non indifferenti. </w:t>
      </w:r>
    </w:p>
    <w:p w:rsidR="00074BC6" w:rsidRPr="009929C4" w:rsidRDefault="00074BC6" w:rsidP="00EF4EA3">
      <w:pPr>
        <w:tabs>
          <w:tab w:val="left" w:pos="8647"/>
          <w:tab w:val="left" w:pos="9214"/>
        </w:tabs>
        <w:ind w:right="1133"/>
        <w:jc w:val="both"/>
        <w:rPr>
          <w:sz w:val="24"/>
          <w:szCs w:val="24"/>
        </w:rPr>
      </w:pPr>
      <w:r w:rsidRPr="009929C4">
        <w:rPr>
          <w:sz w:val="24"/>
          <w:szCs w:val="24"/>
        </w:rPr>
        <w:t xml:space="preserve">Da un lato si poteva ipotizzare un’interpretazione  restrittiva della stessa, in forza della quale il destinatario del precetto avrebbe dovuto soltanto fare ricorso alle misure praticate nello specifico settore industriale interessato (cd. </w:t>
      </w:r>
      <w:r w:rsidRPr="009929C4">
        <w:rPr>
          <w:i/>
          <w:iCs/>
          <w:sz w:val="24"/>
          <w:szCs w:val="24"/>
        </w:rPr>
        <w:t>best praticable technology</w:t>
      </w:r>
      <w:r w:rsidRPr="009929C4">
        <w:rPr>
          <w:sz w:val="24"/>
          <w:szCs w:val="24"/>
        </w:rPr>
        <w:t>)</w:t>
      </w:r>
      <w:r w:rsidRPr="009929C4">
        <w:rPr>
          <w:rStyle w:val="FootnoteReference"/>
          <w:sz w:val="24"/>
          <w:szCs w:val="24"/>
        </w:rPr>
        <w:footnoteReference w:id="11"/>
      </w:r>
      <w:r w:rsidRPr="009929C4">
        <w:rPr>
          <w:sz w:val="24"/>
          <w:szCs w:val="24"/>
        </w:rPr>
        <w:t>; dall’altro non si poteva escludere un’inte</w:t>
      </w:r>
      <w:r>
        <w:rPr>
          <w:sz w:val="24"/>
          <w:szCs w:val="24"/>
        </w:rPr>
        <w:t>rpretazione di maggior respiro,</w:t>
      </w:r>
      <w:r w:rsidRPr="009929C4">
        <w:rPr>
          <w:sz w:val="24"/>
          <w:szCs w:val="24"/>
        </w:rPr>
        <w:t xml:space="preserve"> tale</w:t>
      </w:r>
      <w:r>
        <w:rPr>
          <w:sz w:val="24"/>
          <w:szCs w:val="24"/>
        </w:rPr>
        <w:t xml:space="preserve"> da identificare il precetto come </w:t>
      </w:r>
      <w:r w:rsidRPr="009929C4">
        <w:rPr>
          <w:sz w:val="24"/>
          <w:szCs w:val="24"/>
        </w:rPr>
        <w:t>l’obbligo di utilizzo in ogni c</w:t>
      </w:r>
      <w:r>
        <w:rPr>
          <w:sz w:val="24"/>
          <w:szCs w:val="24"/>
        </w:rPr>
        <w:t xml:space="preserve">aso della tecnologia migliore – </w:t>
      </w:r>
      <w:r w:rsidRPr="009929C4">
        <w:rPr>
          <w:sz w:val="24"/>
          <w:szCs w:val="24"/>
        </w:rPr>
        <w:t>anche se non presente nel particolare comparto produttivo coinvolto – o addirittura di utilizzo della tecnologia derivan</w:t>
      </w:r>
      <w:r>
        <w:rPr>
          <w:sz w:val="24"/>
          <w:szCs w:val="24"/>
        </w:rPr>
        <w:t>te da una costante ricerca, così da  realizzare</w:t>
      </w:r>
      <w:r w:rsidRPr="009929C4">
        <w:rPr>
          <w:sz w:val="24"/>
          <w:szCs w:val="24"/>
        </w:rPr>
        <w:t xml:space="preserve"> tecniche prevenzionali maggiormente aggiornate rispetto a quelle già esistenti sul mercato.</w:t>
      </w:r>
    </w:p>
    <w:p w:rsidR="00074BC6" w:rsidRPr="009929C4" w:rsidRDefault="00074BC6" w:rsidP="00EF4EA3">
      <w:pPr>
        <w:tabs>
          <w:tab w:val="left" w:pos="8647"/>
          <w:tab w:val="left" w:pos="9214"/>
        </w:tabs>
        <w:ind w:right="1133"/>
        <w:jc w:val="both"/>
        <w:rPr>
          <w:sz w:val="24"/>
          <w:szCs w:val="24"/>
        </w:rPr>
      </w:pPr>
      <w:r w:rsidRPr="009929C4">
        <w:rPr>
          <w:sz w:val="24"/>
          <w:szCs w:val="24"/>
        </w:rPr>
        <w:t>Sul tema la S.C. aveva stabilito che la costruzione e l'esercizio, o</w:t>
      </w:r>
      <w:r>
        <w:rPr>
          <w:sz w:val="24"/>
          <w:szCs w:val="24"/>
        </w:rPr>
        <w:t>d</w:t>
      </w:r>
      <w:r w:rsidRPr="009929C4">
        <w:rPr>
          <w:sz w:val="24"/>
          <w:szCs w:val="24"/>
        </w:rPr>
        <w:t xml:space="preserve"> il solo esercizio, di impianti per il recupero di rifiuti urbani possono essere autorizzati secondo le procedure semplificate di cui agli artt. 31 e 33 d.lgs. 22/1997 solo a condizione</w:t>
      </w:r>
      <w:r>
        <w:rPr>
          <w:sz w:val="24"/>
          <w:szCs w:val="24"/>
        </w:rPr>
        <w:t xml:space="preserve"> che, tra l’altro </w:t>
      </w:r>
      <w:r w:rsidRPr="009929C4">
        <w:rPr>
          <w:sz w:val="24"/>
          <w:szCs w:val="24"/>
        </w:rPr>
        <w:t>”</w:t>
      </w:r>
      <w:r w:rsidRPr="009929C4">
        <w:rPr>
          <w:i/>
          <w:iCs/>
          <w:sz w:val="24"/>
          <w:szCs w:val="24"/>
        </w:rPr>
        <w:t xml:space="preserve"> siano utilizzate le migliori tecnologie disponibili per la tutela dell'ambiente e sia garantita una diminuzione delle emissioni inquinanti</w:t>
      </w:r>
      <w:r w:rsidRPr="009929C4">
        <w:rPr>
          <w:sz w:val="24"/>
          <w:szCs w:val="24"/>
        </w:rPr>
        <w:t xml:space="preserve">” </w:t>
      </w:r>
      <w:r w:rsidRPr="009929C4">
        <w:rPr>
          <w:rStyle w:val="FootnoteReference"/>
          <w:sz w:val="24"/>
          <w:szCs w:val="24"/>
        </w:rPr>
        <w:footnoteReference w:id="12"/>
      </w:r>
      <w:r>
        <w:rPr>
          <w:sz w:val="24"/>
          <w:szCs w:val="24"/>
        </w:rPr>
        <w:t>.</w:t>
      </w:r>
    </w:p>
    <w:p w:rsidR="00074BC6" w:rsidRPr="009929C4" w:rsidRDefault="00074BC6" w:rsidP="00EF4EA3">
      <w:pPr>
        <w:pStyle w:val="PlainText"/>
        <w:tabs>
          <w:tab w:val="left" w:pos="8647"/>
        </w:tabs>
        <w:ind w:right="1133"/>
        <w:jc w:val="both"/>
        <w:rPr>
          <w:rFonts w:ascii="Times New Roman" w:hAnsi="Times New Roman" w:cs="Times New Roman"/>
          <w:sz w:val="24"/>
          <w:szCs w:val="24"/>
        </w:rPr>
      </w:pPr>
      <w:r w:rsidRPr="009929C4">
        <w:rPr>
          <w:rFonts w:ascii="Times New Roman" w:hAnsi="Times New Roman" w:cs="Times New Roman"/>
          <w:sz w:val="24"/>
          <w:szCs w:val="24"/>
        </w:rPr>
        <w:t>Ancora in tema di emissioni una nuova definizione di migliore tecnologia disponibile era stata poi fornita dall’art. 268 d.lgs.152/2006 e</w:t>
      </w:r>
      <w:r>
        <w:rPr>
          <w:rFonts w:ascii="Times New Roman" w:hAnsi="Times New Roman" w:cs="Times New Roman"/>
          <w:sz w:val="24"/>
          <w:szCs w:val="24"/>
        </w:rPr>
        <w:t>d</w:t>
      </w:r>
      <w:r w:rsidRPr="009929C4">
        <w:rPr>
          <w:rFonts w:ascii="Times New Roman" w:hAnsi="Times New Roman" w:cs="Times New Roman"/>
          <w:sz w:val="24"/>
          <w:szCs w:val="24"/>
        </w:rPr>
        <w:t>, in tema di autorizzazione integrata ambientale, in termini sovrapponibili, dall’art. 2 d.lgs 59/2005.</w:t>
      </w:r>
    </w:p>
    <w:p w:rsidR="00074BC6" w:rsidRPr="009929C4" w:rsidRDefault="00074BC6" w:rsidP="00EF4EA3">
      <w:pPr>
        <w:pStyle w:val="PlainText"/>
        <w:tabs>
          <w:tab w:val="left" w:pos="8647"/>
        </w:tabs>
        <w:ind w:right="1133"/>
        <w:jc w:val="both"/>
        <w:rPr>
          <w:rFonts w:ascii="Times New Roman" w:eastAsia="MS Mincho" w:hAnsi="Times New Roman"/>
          <w:sz w:val="24"/>
          <w:szCs w:val="24"/>
        </w:rPr>
      </w:pPr>
      <w:r w:rsidRPr="009929C4">
        <w:rPr>
          <w:rFonts w:ascii="Times New Roman" w:eastAsia="MS Mincho" w:hAnsi="Times New Roman" w:cs="Times New Roman"/>
          <w:sz w:val="24"/>
          <w:szCs w:val="24"/>
        </w:rPr>
        <w:t>Recentemente il principio è stato ripreso e ampiamente applicato nell’ambito dello stesso d.lgs. 152/2006</w:t>
      </w:r>
      <w:r>
        <w:rPr>
          <w:rFonts w:ascii="Times New Roman" w:eastAsia="MS Mincho" w:hAnsi="Times New Roman" w:cs="Times New Roman"/>
          <w:sz w:val="24"/>
          <w:szCs w:val="24"/>
        </w:rPr>
        <w:t>,</w:t>
      </w:r>
      <w:r w:rsidRPr="009929C4">
        <w:rPr>
          <w:rFonts w:ascii="Times New Roman" w:eastAsia="MS Mincho" w:hAnsi="Times New Roman" w:cs="Times New Roman"/>
          <w:sz w:val="24"/>
          <w:szCs w:val="24"/>
        </w:rPr>
        <w:t xml:space="preserve"> così come modificato dal d.</w:t>
      </w:r>
      <w:r>
        <w:rPr>
          <w:rFonts w:ascii="Times New Roman" w:eastAsia="MS Mincho" w:hAnsi="Times New Roman" w:cs="Times New Roman"/>
          <w:sz w:val="24"/>
          <w:szCs w:val="24"/>
        </w:rPr>
        <w:t>lgs. 128/2010, in particolare ne</w:t>
      </w:r>
      <w:r w:rsidRPr="009929C4">
        <w:rPr>
          <w:rFonts w:ascii="Times New Roman" w:eastAsia="MS Mincho" w:hAnsi="Times New Roman" w:cs="Times New Roman"/>
          <w:sz w:val="24"/>
          <w:szCs w:val="24"/>
        </w:rPr>
        <w:t>ll’</w:t>
      </w:r>
      <w:r>
        <w:rPr>
          <w:rFonts w:ascii="Times New Roman" w:eastAsia="MS Mincho" w:hAnsi="Times New Roman" w:cs="Times New Roman"/>
          <w:sz w:val="24"/>
          <w:szCs w:val="24"/>
        </w:rPr>
        <w:t xml:space="preserve">art. 5, co. 1 </w:t>
      </w:r>
      <w:r w:rsidRPr="00BE5755">
        <w:rPr>
          <w:rFonts w:ascii="Times New Roman" w:eastAsia="MS Mincho" w:hAnsi="Times New Roman" w:cs="Times New Roman"/>
          <w:i/>
          <w:iCs/>
          <w:sz w:val="24"/>
          <w:szCs w:val="24"/>
        </w:rPr>
        <w:t>ter</w:t>
      </w:r>
      <w:r>
        <w:rPr>
          <w:rFonts w:ascii="Times New Roman" w:eastAsia="MS Mincho" w:hAnsi="Times New Roman" w:cs="Times New Roman"/>
          <w:i/>
          <w:iCs/>
          <w:sz w:val="24"/>
          <w:szCs w:val="24"/>
        </w:rPr>
        <w:t>,</w:t>
      </w:r>
      <w:r w:rsidRPr="009929C4">
        <w:rPr>
          <w:rFonts w:ascii="Times New Roman" w:eastAsia="MS Mincho" w:hAnsi="Times New Roman" w:cs="Times New Roman"/>
          <w:sz w:val="24"/>
          <w:szCs w:val="24"/>
        </w:rPr>
        <w:t xml:space="preserve"> in tema di “</w:t>
      </w:r>
      <w:r w:rsidRPr="009929C4">
        <w:rPr>
          <w:rFonts w:ascii="Times New Roman" w:eastAsia="MS Mincho" w:hAnsi="Times New Roman" w:cs="Times New Roman"/>
          <w:i/>
          <w:iCs/>
          <w:sz w:val="24"/>
          <w:szCs w:val="24"/>
        </w:rPr>
        <w:t>Procedure per la valutazion</w:t>
      </w:r>
      <w:r>
        <w:rPr>
          <w:rFonts w:ascii="Times New Roman" w:eastAsia="MS Mincho" w:hAnsi="Times New Roman" w:cs="Times New Roman"/>
          <w:i/>
          <w:iCs/>
          <w:sz w:val="24"/>
          <w:szCs w:val="24"/>
        </w:rPr>
        <w:t>e ambientale strategica (VAS), p</w:t>
      </w:r>
      <w:r w:rsidRPr="009929C4">
        <w:rPr>
          <w:rFonts w:ascii="Times New Roman" w:eastAsia="MS Mincho" w:hAnsi="Times New Roman" w:cs="Times New Roman"/>
          <w:i/>
          <w:iCs/>
          <w:sz w:val="24"/>
          <w:szCs w:val="24"/>
        </w:rPr>
        <w:t>er la valutazione d'impatto ambientale (VIA) e per l'autorizzazione ambientale integrata (IPPC).”</w:t>
      </w:r>
    </w:p>
    <w:p w:rsidR="00074BC6" w:rsidRPr="009929C4" w:rsidRDefault="00074BC6" w:rsidP="00AC2D4D">
      <w:pPr>
        <w:pStyle w:val="PlainText"/>
        <w:ind w:right="1983"/>
        <w:jc w:val="both"/>
        <w:rPr>
          <w:rFonts w:ascii="Times New Roman" w:hAnsi="Times New Roman" w:cs="Times New Roman"/>
          <w:sz w:val="24"/>
          <w:szCs w:val="24"/>
        </w:rPr>
      </w:pPr>
    </w:p>
    <w:p w:rsidR="00074BC6" w:rsidRDefault="00074BC6" w:rsidP="006E3E26">
      <w:pPr>
        <w:pStyle w:val="PlainText"/>
        <w:ind w:right="1133"/>
        <w:jc w:val="both"/>
        <w:rPr>
          <w:rFonts w:ascii="Times New Roman" w:hAnsi="Times New Roman" w:cs="Times New Roman"/>
          <w:sz w:val="24"/>
          <w:szCs w:val="24"/>
        </w:rPr>
      </w:pPr>
      <w:r w:rsidRPr="009929C4">
        <w:rPr>
          <w:rFonts w:ascii="Times New Roman" w:hAnsi="Times New Roman" w:cs="Times New Roman"/>
          <w:sz w:val="24"/>
          <w:szCs w:val="24"/>
        </w:rPr>
        <w:t xml:space="preserve">Su almeno su tre punti le definizione presentano elementi di discontinuità. </w:t>
      </w:r>
    </w:p>
    <w:p w:rsidR="00074BC6" w:rsidRPr="00EF4EA3" w:rsidRDefault="00074BC6" w:rsidP="006E3E26">
      <w:pPr>
        <w:pStyle w:val="PlainText"/>
        <w:ind w:right="1133"/>
        <w:jc w:val="both"/>
        <w:rPr>
          <w:rFonts w:ascii="Times New Roman" w:eastAsia="MS Mincho" w:hAnsi="Times New Roman" w:cs="Times New Roman"/>
          <w:b/>
          <w:bCs/>
          <w:sz w:val="24"/>
          <w:szCs w:val="24"/>
        </w:rPr>
      </w:pPr>
      <w:r w:rsidRPr="009929C4">
        <w:rPr>
          <w:rFonts w:ascii="Times New Roman" w:hAnsi="Times New Roman" w:cs="Times New Roman"/>
          <w:sz w:val="24"/>
          <w:szCs w:val="24"/>
        </w:rPr>
        <w:t>Le originarie indicazioni in tema di emissio</w:t>
      </w:r>
      <w:r>
        <w:rPr>
          <w:rFonts w:ascii="Times New Roman" w:hAnsi="Times New Roman" w:cs="Times New Roman"/>
          <w:sz w:val="24"/>
          <w:szCs w:val="24"/>
        </w:rPr>
        <w:t>ni del d.lgs. 152/2006 e di VIA,</w:t>
      </w:r>
      <w:r w:rsidRPr="009929C4">
        <w:rPr>
          <w:rFonts w:ascii="Times New Roman" w:hAnsi="Times New Roman" w:cs="Times New Roman"/>
          <w:sz w:val="24"/>
          <w:szCs w:val="24"/>
        </w:rPr>
        <w:t xml:space="preserve"> sostanzialmente riprese dalle attuale indicazioni sulle emissioni di cui alla più recente versione</w:t>
      </w:r>
      <w:r w:rsidRPr="00EF4EA3">
        <w:rPr>
          <w:rFonts w:ascii="Times New Roman" w:hAnsi="Times New Roman" w:cs="Times New Roman"/>
          <w:sz w:val="24"/>
          <w:szCs w:val="24"/>
        </w:rPr>
        <w:t xml:space="preserve"> del d.lgs. 152/2006</w:t>
      </w:r>
      <w:r>
        <w:rPr>
          <w:rFonts w:ascii="Times New Roman" w:hAnsi="Times New Roman" w:cs="Times New Roman"/>
          <w:sz w:val="24"/>
          <w:szCs w:val="24"/>
        </w:rPr>
        <w:t>,</w:t>
      </w:r>
      <w:r w:rsidRPr="00EF4EA3">
        <w:rPr>
          <w:rFonts w:ascii="Times New Roman" w:hAnsi="Times New Roman" w:cs="Times New Roman"/>
          <w:sz w:val="24"/>
          <w:szCs w:val="24"/>
        </w:rPr>
        <w:t xml:space="preserve"> esprimono in</w:t>
      </w:r>
      <w:r>
        <w:rPr>
          <w:rFonts w:ascii="Times New Roman" w:hAnsi="Times New Roman" w:cs="Times New Roman"/>
          <w:sz w:val="24"/>
          <w:szCs w:val="24"/>
        </w:rPr>
        <w:t xml:space="preserve"> termini particolarmente netti </w:t>
      </w:r>
      <w:r w:rsidRPr="00EF4EA3">
        <w:rPr>
          <w:rFonts w:ascii="Times New Roman" w:hAnsi="Times New Roman" w:cs="Times New Roman"/>
          <w:sz w:val="24"/>
          <w:szCs w:val="24"/>
        </w:rPr>
        <w:t>e chiari</w:t>
      </w:r>
      <w:r>
        <w:rPr>
          <w:rFonts w:ascii="Times New Roman" w:hAnsi="Times New Roman" w:cs="Times New Roman"/>
          <w:sz w:val="24"/>
          <w:szCs w:val="24"/>
        </w:rPr>
        <w:t xml:space="preserve"> che</w:t>
      </w:r>
      <w:r w:rsidRPr="00EF4EA3">
        <w:rPr>
          <w:rFonts w:ascii="Times New Roman" w:hAnsi="Times New Roman" w:cs="Times New Roman"/>
          <w:sz w:val="24"/>
          <w:szCs w:val="24"/>
        </w:rPr>
        <w:t xml:space="preserve"> le tecniche in oggetto devono essere tali da “</w:t>
      </w:r>
      <w:r w:rsidRPr="00EF4EA3">
        <w:rPr>
          <w:rFonts w:ascii="Times New Roman" w:hAnsi="Times New Roman" w:cs="Times New Roman"/>
          <w:i/>
          <w:iCs/>
          <w:sz w:val="24"/>
          <w:szCs w:val="24"/>
        </w:rPr>
        <w:t>evitare ovvero, se ciò risulti impossibile, a ridurre le emissioni</w:t>
      </w:r>
      <w:r w:rsidRPr="00EF4EA3">
        <w:rPr>
          <w:rFonts w:ascii="Times New Roman" w:hAnsi="Times New Roman" w:cs="Times New Roman"/>
          <w:sz w:val="24"/>
          <w:szCs w:val="24"/>
        </w:rPr>
        <w:t>”, laddove le attuali indicazioni di cui al d.lgs. 152/2006</w:t>
      </w:r>
      <w:r>
        <w:rPr>
          <w:rFonts w:ascii="Times New Roman" w:hAnsi="Times New Roman" w:cs="Times New Roman"/>
          <w:sz w:val="24"/>
          <w:szCs w:val="24"/>
        </w:rPr>
        <w:t xml:space="preserve"> –</w:t>
      </w:r>
      <w:r w:rsidRPr="00EF4EA3">
        <w:rPr>
          <w:rFonts w:ascii="Times New Roman" w:hAnsi="Times New Roman" w:cs="Times New Roman"/>
          <w:sz w:val="24"/>
          <w:szCs w:val="24"/>
        </w:rPr>
        <w:t xml:space="preserve"> </w:t>
      </w:r>
      <w:r>
        <w:rPr>
          <w:rFonts w:ascii="Times New Roman" w:hAnsi="Times New Roman" w:cs="Times New Roman"/>
          <w:sz w:val="24"/>
          <w:szCs w:val="24"/>
        </w:rPr>
        <w:t>in tema di rifiuti e di VIA/VAS –</w:t>
      </w:r>
      <w:r w:rsidRPr="00EF4EA3">
        <w:rPr>
          <w:rFonts w:ascii="Times New Roman" w:hAnsi="Times New Roman" w:cs="Times New Roman"/>
          <w:sz w:val="24"/>
          <w:szCs w:val="24"/>
        </w:rPr>
        <w:t xml:space="preserve"> prevedono in termini maggiormente articolati</w:t>
      </w:r>
      <w:r>
        <w:rPr>
          <w:rFonts w:ascii="Times New Roman" w:hAnsi="Times New Roman" w:cs="Times New Roman"/>
          <w:sz w:val="24"/>
          <w:szCs w:val="24"/>
        </w:rPr>
        <w:t xml:space="preserve"> che</w:t>
      </w:r>
      <w:r w:rsidRPr="00EF4EA3">
        <w:rPr>
          <w:rFonts w:ascii="Times New Roman" w:hAnsi="Times New Roman" w:cs="Times New Roman"/>
          <w:sz w:val="24"/>
          <w:szCs w:val="24"/>
        </w:rPr>
        <w:t xml:space="preserve"> le stesse devono “</w:t>
      </w:r>
      <w:r w:rsidRPr="00EF4EA3">
        <w:rPr>
          <w:rFonts w:ascii="Times New Roman" w:eastAsia="MS Mincho" w:hAnsi="Times New Roman" w:cs="Times New Roman"/>
          <w:i/>
          <w:iCs/>
          <w:sz w:val="24"/>
          <w:szCs w:val="24"/>
        </w:rPr>
        <w:t>costituire, in linea di massima, la base dei valori limite di emissione intesi ad evitare oppure, ove ciò si riveli impossibile, a ridurre in modo generale le emissioni e l'impatto sull'ambiente nel suo complesso</w:t>
      </w:r>
      <w:r w:rsidRPr="00EF4EA3">
        <w:rPr>
          <w:rFonts w:ascii="Times New Roman" w:eastAsia="MS Mincho" w:hAnsi="Times New Roman" w:cs="Times New Roman"/>
          <w:b/>
          <w:bCs/>
          <w:sz w:val="24"/>
          <w:szCs w:val="24"/>
        </w:rPr>
        <w:t>”.</w:t>
      </w:r>
    </w:p>
    <w:p w:rsidR="00074BC6" w:rsidRPr="00EF4EA3" w:rsidRDefault="00074BC6" w:rsidP="00EF4EA3">
      <w:pPr>
        <w:pStyle w:val="PlainText"/>
        <w:ind w:right="1133"/>
        <w:jc w:val="both"/>
        <w:rPr>
          <w:rFonts w:ascii="Times New Roman" w:hAnsi="Times New Roman" w:cs="Times New Roman"/>
          <w:sz w:val="24"/>
          <w:szCs w:val="24"/>
        </w:rPr>
      </w:pPr>
      <w:r w:rsidRPr="00EF4EA3">
        <w:rPr>
          <w:rFonts w:ascii="Times New Roman" w:hAnsi="Times New Roman" w:cs="Times New Roman"/>
          <w:sz w:val="24"/>
          <w:szCs w:val="24"/>
        </w:rPr>
        <w:t>Ancora in tema di rifiuti e di VIA/VAS</w:t>
      </w:r>
      <w:r>
        <w:rPr>
          <w:rFonts w:ascii="Times New Roman" w:hAnsi="Times New Roman" w:cs="Times New Roman"/>
          <w:sz w:val="24"/>
          <w:szCs w:val="24"/>
        </w:rPr>
        <w:t>,</w:t>
      </w:r>
      <w:r w:rsidRPr="00EF4EA3">
        <w:rPr>
          <w:rFonts w:ascii="Times New Roman" w:hAnsi="Times New Roman" w:cs="Times New Roman"/>
          <w:sz w:val="24"/>
          <w:szCs w:val="24"/>
        </w:rPr>
        <w:t xml:space="preserve"> le tecniche menzionate devono e</w:t>
      </w:r>
      <w:r>
        <w:rPr>
          <w:rFonts w:ascii="Times New Roman" w:hAnsi="Times New Roman" w:cs="Times New Roman"/>
          <w:sz w:val="24"/>
          <w:szCs w:val="24"/>
        </w:rPr>
        <w:t>ssere applicate in condizioni definite idonee</w:t>
      </w:r>
      <w:r w:rsidRPr="00EF4EA3">
        <w:rPr>
          <w:rFonts w:ascii="Times New Roman" w:hAnsi="Times New Roman" w:cs="Times New Roman"/>
          <w:sz w:val="24"/>
          <w:szCs w:val="24"/>
        </w:rPr>
        <w:t xml:space="preserve"> – laddove negli altri casi l’ind</w:t>
      </w:r>
      <w:r>
        <w:rPr>
          <w:rFonts w:ascii="Times New Roman" w:hAnsi="Times New Roman" w:cs="Times New Roman"/>
          <w:sz w:val="24"/>
          <w:szCs w:val="24"/>
        </w:rPr>
        <w:t>icazione prevedeva condizioni indicate come valide –</w:t>
      </w:r>
      <w:r w:rsidRPr="00EF4EA3">
        <w:rPr>
          <w:rFonts w:ascii="Times New Roman" w:hAnsi="Times New Roman" w:cs="Times New Roman"/>
          <w:sz w:val="24"/>
          <w:szCs w:val="24"/>
        </w:rPr>
        <w:t xml:space="preserve"> e</w:t>
      </w:r>
      <w:r>
        <w:rPr>
          <w:rFonts w:ascii="Times New Roman" w:hAnsi="Times New Roman" w:cs="Times New Roman"/>
          <w:sz w:val="24"/>
          <w:szCs w:val="24"/>
        </w:rPr>
        <w:t>d il gestore deve poter avere accesso</w:t>
      </w:r>
      <w:r w:rsidRPr="00EF4EA3">
        <w:rPr>
          <w:rFonts w:ascii="Times New Roman" w:hAnsi="Times New Roman" w:cs="Times New Roman"/>
          <w:sz w:val="24"/>
          <w:szCs w:val="24"/>
        </w:rPr>
        <w:t xml:space="preserve"> alle stesse, rispetto ad una generalizzata previsione di possibilità di “utilizzo”. </w:t>
      </w:r>
    </w:p>
    <w:p w:rsidR="00074BC6" w:rsidRPr="00EF4EA3" w:rsidRDefault="00074BC6" w:rsidP="00EF4EA3">
      <w:pPr>
        <w:pStyle w:val="PlainText"/>
        <w:ind w:right="113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 effetti, in tema di VAS, VIA e IPPC – </w:t>
      </w:r>
      <w:r w:rsidRPr="00EF4EA3">
        <w:rPr>
          <w:rFonts w:ascii="Times New Roman" w:eastAsia="MS Mincho" w:hAnsi="Times New Roman" w:cs="Times New Roman"/>
          <w:sz w:val="24"/>
          <w:szCs w:val="24"/>
        </w:rPr>
        <w:t>in base alle modifiche apportate dal d.lgs. 128/2010 al  d.lgs. 152/2006</w:t>
      </w:r>
      <w:r>
        <w:rPr>
          <w:rFonts w:ascii="Times New Roman" w:eastAsia="MS Mincho" w:hAnsi="Times New Roman" w:cs="Times New Roman"/>
          <w:sz w:val="24"/>
          <w:szCs w:val="24"/>
        </w:rPr>
        <w:t xml:space="preserve"> –</w:t>
      </w:r>
      <w:r w:rsidRPr="00EF4EA3">
        <w:rPr>
          <w:rFonts w:ascii="Times New Roman" w:eastAsia="MS Mincho" w:hAnsi="Times New Roman" w:cs="Times New Roman"/>
          <w:sz w:val="24"/>
          <w:szCs w:val="24"/>
        </w:rPr>
        <w:t xml:space="preserve"> il tema delle migliore tecniche disponibili è dive</w:t>
      </w:r>
      <w:r>
        <w:rPr>
          <w:rFonts w:ascii="Times New Roman" w:eastAsia="MS Mincho" w:hAnsi="Times New Roman" w:cs="Times New Roman"/>
          <w:sz w:val="24"/>
          <w:szCs w:val="24"/>
        </w:rPr>
        <w:t>ntato prioritario</w:t>
      </w:r>
      <w:r w:rsidRPr="00EF4EA3">
        <w:rPr>
          <w:rFonts w:ascii="Times New Roman" w:eastAsia="MS Mincho" w:hAnsi="Times New Roman" w:cs="Times New Roman"/>
          <w:sz w:val="24"/>
          <w:szCs w:val="24"/>
        </w:rPr>
        <w:t xml:space="preserve"> nel settore; al riguar</w:t>
      </w:r>
      <w:r>
        <w:rPr>
          <w:rFonts w:ascii="Times New Roman" w:eastAsia="MS Mincho" w:hAnsi="Times New Roman" w:cs="Times New Roman"/>
          <w:sz w:val="24"/>
          <w:szCs w:val="24"/>
        </w:rPr>
        <w:t xml:space="preserve">do l’art. 29 </w:t>
      </w:r>
      <w:r w:rsidRPr="00BE5755">
        <w:rPr>
          <w:rFonts w:ascii="Times New Roman" w:eastAsia="MS Mincho" w:hAnsi="Times New Roman" w:cs="Times New Roman"/>
          <w:i/>
          <w:iCs/>
          <w:sz w:val="24"/>
          <w:szCs w:val="24"/>
        </w:rPr>
        <w:t>bis</w:t>
      </w:r>
      <w:r>
        <w:rPr>
          <w:rFonts w:ascii="Times New Roman" w:eastAsia="MS Mincho" w:hAnsi="Times New Roman" w:cs="Times New Roman"/>
          <w:sz w:val="24"/>
          <w:szCs w:val="24"/>
        </w:rPr>
        <w:t xml:space="preserve"> (i</w:t>
      </w:r>
      <w:r w:rsidRPr="00EF4EA3">
        <w:rPr>
          <w:rFonts w:ascii="Times New Roman" w:eastAsia="MS Mincho" w:hAnsi="Times New Roman" w:cs="Times New Roman"/>
          <w:sz w:val="24"/>
          <w:szCs w:val="24"/>
        </w:rPr>
        <w:t>ndividuazione e utilizzo delle migliori tecniche disponibili) ha stabilito che “</w:t>
      </w:r>
      <w:r>
        <w:rPr>
          <w:rFonts w:ascii="Times New Roman" w:eastAsia="MS Mincho" w:hAnsi="Times New Roman" w:cs="Times New Roman"/>
          <w:i/>
          <w:iCs/>
          <w:sz w:val="24"/>
          <w:szCs w:val="24"/>
        </w:rPr>
        <w:t>l</w:t>
      </w:r>
      <w:r w:rsidRPr="00EF4EA3">
        <w:rPr>
          <w:rFonts w:ascii="Times New Roman" w:eastAsia="MS Mincho" w:hAnsi="Times New Roman" w:cs="Times New Roman"/>
          <w:i/>
          <w:iCs/>
          <w:sz w:val="24"/>
          <w:szCs w:val="24"/>
        </w:rPr>
        <w:t>'autorizzazione integrata ambientale per gli impianti rientranti nelle attività di cui all'allegato VIII è rilasciata tenendo conto di quanto indicato nell'allegato XI e delle informazioni diffuse ai sensi dell'articolo 29-terdecies, comma 4 e dei documenti BREF (</w:t>
      </w:r>
      <w:r w:rsidRPr="0092330B">
        <w:rPr>
          <w:rFonts w:ascii="Times New Roman" w:eastAsia="MS Mincho" w:hAnsi="Times New Roman" w:cs="Times New Roman"/>
          <w:i/>
          <w:iCs/>
          <w:sz w:val="24"/>
          <w:szCs w:val="24"/>
        </w:rPr>
        <w:t>BAT</w:t>
      </w:r>
      <w:r w:rsidRPr="0092330B">
        <w:rPr>
          <w:rFonts w:ascii="Times New Roman" w:eastAsia="MS Mincho" w:hAnsi="Times New Roman" w:cs="Times New Roman"/>
          <w:sz w:val="24"/>
          <w:szCs w:val="24"/>
        </w:rPr>
        <w:t xml:space="preserve"> Reference Documents</w:t>
      </w:r>
      <w:r w:rsidRPr="00EF4EA3">
        <w:rPr>
          <w:rFonts w:ascii="Times New Roman" w:eastAsia="MS Mincho" w:hAnsi="Times New Roman" w:cs="Times New Roman"/>
          <w:i/>
          <w:iCs/>
          <w:sz w:val="24"/>
          <w:szCs w:val="24"/>
        </w:rPr>
        <w:t>) pubblicati dalla Commissione europea, nel rispetto delle linee guida per l'individuazione e l'utilizzo delle migliori tecniche disponibili, emanate con uno o più decreti del Ministro dell'ambiente e della tutela del territorio e del mare, del Ministro dello sviluppo economico e del Ministro del lavoro, della salute e delle politiche sociali, sentita la Conferenza unificata istituita ai sensi del decreto leg</w:t>
      </w:r>
      <w:r>
        <w:rPr>
          <w:rFonts w:ascii="Times New Roman" w:eastAsia="MS Mincho" w:hAnsi="Times New Roman" w:cs="Times New Roman"/>
          <w:i/>
          <w:iCs/>
          <w:sz w:val="24"/>
          <w:szCs w:val="24"/>
        </w:rPr>
        <w:t>islativo 28 agosto 1997, n. 281</w:t>
      </w:r>
      <w:r w:rsidRPr="00EF4EA3">
        <w:rPr>
          <w:rFonts w:ascii="Times New Roman" w:eastAsia="MS Mincho" w:hAnsi="Times New Roman" w:cs="Times New Roman"/>
          <w:i/>
          <w:iCs/>
          <w:sz w:val="24"/>
          <w:szCs w:val="24"/>
        </w:rPr>
        <w:t>”</w:t>
      </w:r>
      <w:r w:rsidRPr="00EF4EA3">
        <w:rPr>
          <w:rFonts w:ascii="Times New Roman" w:eastAsia="MS Mincho" w:hAnsi="Times New Roman" w:cs="Times New Roman"/>
          <w:sz w:val="24"/>
          <w:szCs w:val="24"/>
        </w:rPr>
        <w:t xml:space="preserve"> </w:t>
      </w:r>
      <w:r w:rsidRPr="00EF4EA3">
        <w:rPr>
          <w:rStyle w:val="FootnoteReference"/>
          <w:rFonts w:ascii="Times New Roman" w:eastAsia="MS Mincho" w:hAnsi="Times New Roman"/>
          <w:sz w:val="24"/>
          <w:szCs w:val="24"/>
        </w:rPr>
        <w:footnoteReference w:id="13"/>
      </w:r>
      <w:r>
        <w:rPr>
          <w:rFonts w:ascii="Times New Roman" w:eastAsia="MS Mincho" w:hAnsi="Times New Roman" w:cs="Times New Roman"/>
          <w:sz w:val="24"/>
          <w:szCs w:val="24"/>
        </w:rPr>
        <w:t>.</w:t>
      </w:r>
      <w:r w:rsidRPr="00EF4EA3">
        <w:rPr>
          <w:rFonts w:ascii="Times New Roman" w:eastAsia="MS Mincho" w:hAnsi="Times New Roman" w:cs="Times New Roman"/>
          <w:sz w:val="24"/>
          <w:szCs w:val="24"/>
        </w:rPr>
        <w:t xml:space="preserve"> </w:t>
      </w:r>
    </w:p>
    <w:p w:rsidR="00074BC6" w:rsidRPr="00EF4EA3" w:rsidRDefault="00074BC6" w:rsidP="00EF4EA3">
      <w:pPr>
        <w:pStyle w:val="PlainText"/>
        <w:ind w:right="1133"/>
        <w:jc w:val="both"/>
        <w:rPr>
          <w:rFonts w:ascii="Times New Roman" w:eastAsia="MS Mincho" w:hAnsi="Times New Roman"/>
          <w:sz w:val="24"/>
          <w:szCs w:val="24"/>
        </w:rPr>
      </w:pPr>
      <w:r>
        <w:rPr>
          <w:rFonts w:ascii="Times New Roman" w:eastAsia="MS Mincho" w:hAnsi="Times New Roman" w:cs="Times New Roman"/>
          <w:sz w:val="24"/>
          <w:szCs w:val="24"/>
        </w:rPr>
        <w:t xml:space="preserve">In tema di rifiuti, non a caso </w:t>
      </w:r>
      <w:r w:rsidRPr="00EF4EA3">
        <w:rPr>
          <w:rFonts w:ascii="Times New Roman" w:eastAsia="MS Mincho" w:hAnsi="Times New Roman" w:cs="Times New Roman"/>
          <w:sz w:val="24"/>
          <w:szCs w:val="24"/>
        </w:rPr>
        <w:t>l’a</w:t>
      </w:r>
      <w:r>
        <w:rPr>
          <w:rFonts w:ascii="Times New Roman" w:eastAsia="MS Mincho" w:hAnsi="Times New Roman" w:cs="Times New Roman"/>
          <w:sz w:val="24"/>
          <w:szCs w:val="24"/>
        </w:rPr>
        <w:t xml:space="preserve">rt. 182 </w:t>
      </w:r>
      <w:r w:rsidRPr="0092330B">
        <w:rPr>
          <w:rFonts w:ascii="Times New Roman" w:eastAsia="MS Mincho" w:hAnsi="Times New Roman" w:cs="Times New Roman"/>
          <w:i/>
          <w:iCs/>
          <w:sz w:val="24"/>
          <w:szCs w:val="24"/>
        </w:rPr>
        <w:t>bis</w:t>
      </w:r>
      <w:r>
        <w:rPr>
          <w:rFonts w:ascii="Times New Roman" w:eastAsia="MS Mincho" w:hAnsi="Times New Roman" w:cs="Times New Roman"/>
          <w:sz w:val="24"/>
          <w:szCs w:val="24"/>
        </w:rPr>
        <w:t xml:space="preserve"> (p</w:t>
      </w:r>
      <w:r w:rsidRPr="00EF4EA3">
        <w:rPr>
          <w:rFonts w:ascii="Times New Roman" w:eastAsia="MS Mincho" w:hAnsi="Times New Roman" w:cs="Times New Roman"/>
          <w:sz w:val="24"/>
          <w:szCs w:val="24"/>
        </w:rPr>
        <w:t xml:space="preserve">rincipi </w:t>
      </w:r>
      <w:r>
        <w:rPr>
          <w:rFonts w:ascii="Times New Roman" w:eastAsia="MS Mincho" w:hAnsi="Times New Roman" w:cs="Times New Roman"/>
          <w:sz w:val="24"/>
          <w:szCs w:val="24"/>
        </w:rPr>
        <w:t>di autosufficienza e prossimità</w:t>
      </w:r>
      <w:r w:rsidRPr="00EF4EA3">
        <w:rPr>
          <w:rFonts w:ascii="Times New Roman" w:eastAsia="MS Mincho" w:hAnsi="Times New Roman" w:cs="Times New Roman"/>
          <w:sz w:val="24"/>
          <w:szCs w:val="24"/>
        </w:rPr>
        <w:t>) prevede attualmente che lo smaltimento dei rifiuti ed il recupero dei rifiu</w:t>
      </w:r>
      <w:r>
        <w:rPr>
          <w:rFonts w:ascii="Times New Roman" w:eastAsia="MS Mincho" w:hAnsi="Times New Roman" w:cs="Times New Roman"/>
          <w:sz w:val="24"/>
          <w:szCs w:val="24"/>
        </w:rPr>
        <w:t>ti urbani non differenziati siano</w:t>
      </w:r>
      <w:r w:rsidRPr="00EF4EA3">
        <w:rPr>
          <w:rFonts w:ascii="Times New Roman" w:eastAsia="MS Mincho" w:hAnsi="Times New Roman" w:cs="Times New Roman"/>
          <w:sz w:val="24"/>
          <w:szCs w:val="24"/>
        </w:rPr>
        <w:t>, per le finalità individuate dalla stesso d.lgs. 152/2006</w:t>
      </w:r>
      <w:r>
        <w:rPr>
          <w:rFonts w:ascii="Times New Roman" w:eastAsia="MS Mincho" w:hAnsi="Times New Roman" w:cs="Times New Roman"/>
          <w:sz w:val="24"/>
          <w:szCs w:val="24"/>
        </w:rPr>
        <w:t xml:space="preserve"> </w:t>
      </w:r>
      <w:r w:rsidRPr="00EF4EA3">
        <w:rPr>
          <w:rStyle w:val="FootnoteReference"/>
          <w:rFonts w:ascii="Times New Roman" w:eastAsia="MS Mincho" w:hAnsi="Times New Roman"/>
          <w:sz w:val="24"/>
          <w:szCs w:val="24"/>
        </w:rPr>
        <w:footnoteReference w:id="14"/>
      </w:r>
      <w:r w:rsidRPr="00EF4EA3">
        <w:rPr>
          <w:rFonts w:ascii="Times New Roman" w:eastAsia="MS Mincho" w:hAnsi="Times New Roman" w:cs="Times New Roman"/>
          <w:sz w:val="24"/>
          <w:szCs w:val="24"/>
        </w:rPr>
        <w:t xml:space="preserve"> “</w:t>
      </w:r>
      <w:r w:rsidRPr="00EF4EA3">
        <w:rPr>
          <w:rFonts w:ascii="Times New Roman" w:eastAsia="MS Mincho" w:hAnsi="Times New Roman" w:cs="Times New Roman"/>
          <w:i/>
          <w:iCs/>
          <w:sz w:val="24"/>
          <w:szCs w:val="24"/>
        </w:rPr>
        <w:t>attuati con il ricorso ad una rete integrata ed adeguata di impianti, tenendo conto delle migliori tecniche disponibili e del rapporto tra i costi e i benefici complessi</w:t>
      </w:r>
      <w:r>
        <w:rPr>
          <w:rFonts w:ascii="Times New Roman" w:eastAsia="MS Mincho" w:hAnsi="Times New Roman" w:cs="Times New Roman"/>
          <w:i/>
          <w:iCs/>
          <w:sz w:val="24"/>
          <w:szCs w:val="24"/>
        </w:rPr>
        <w:t>vi”.</w:t>
      </w:r>
    </w:p>
    <w:p w:rsidR="00074BC6" w:rsidRPr="00EF4EA3" w:rsidRDefault="00074BC6" w:rsidP="00EF4EA3">
      <w:pPr>
        <w:pStyle w:val="PlainText"/>
        <w:ind w:right="1133"/>
        <w:jc w:val="both"/>
        <w:rPr>
          <w:rFonts w:ascii="Times New Roman" w:hAnsi="Times New Roman" w:cs="Times New Roman"/>
          <w:sz w:val="24"/>
          <w:szCs w:val="24"/>
        </w:rPr>
      </w:pPr>
      <w:r w:rsidRPr="00EF4EA3">
        <w:rPr>
          <w:rFonts w:ascii="Times New Roman" w:eastAsia="MS Mincho" w:hAnsi="Times New Roman" w:cs="Times New Roman"/>
          <w:sz w:val="24"/>
          <w:szCs w:val="24"/>
        </w:rPr>
        <w:t xml:space="preserve">Particolarmente significativa risulta sul tema una recente decisione in sede amministrativa, con la quale il TAR è stato chiamato a valutare le doglianze di un soggetto, già autorizzato nell’ambito di un’attività </w:t>
      </w:r>
      <w:r w:rsidRPr="00EF4EA3">
        <w:rPr>
          <w:rFonts w:ascii="Times New Roman" w:hAnsi="Times New Roman" w:cs="Times New Roman"/>
          <w:sz w:val="24"/>
          <w:szCs w:val="24"/>
        </w:rPr>
        <w:t>industriale di stampaggio a caldo e di lavorazioni meccaniche dalla Regione</w:t>
      </w:r>
      <w:r>
        <w:rPr>
          <w:rFonts w:ascii="Times New Roman" w:hAnsi="Times New Roman" w:cs="Times New Roman"/>
          <w:sz w:val="24"/>
          <w:szCs w:val="24"/>
        </w:rPr>
        <w:t>, a</w:t>
      </w:r>
      <w:r w:rsidRPr="00EF4EA3">
        <w:rPr>
          <w:rFonts w:ascii="Times New Roman" w:hAnsi="Times New Roman" w:cs="Times New Roman"/>
          <w:sz w:val="24"/>
          <w:szCs w:val="24"/>
        </w:rPr>
        <w:t xml:space="preserve"> far funzionare le proprie macchine anche per la produzione di </w:t>
      </w:r>
      <w:r>
        <w:rPr>
          <w:rFonts w:ascii="Times New Roman" w:hAnsi="Times New Roman" w:cs="Times New Roman"/>
          <w:sz w:val="24"/>
          <w:szCs w:val="24"/>
        </w:rPr>
        <w:t xml:space="preserve">calore nel proprio stabilimento; questi </w:t>
      </w:r>
      <w:r w:rsidRPr="00EF4EA3">
        <w:rPr>
          <w:rFonts w:ascii="Times New Roman" w:hAnsi="Times New Roman" w:cs="Times New Roman"/>
          <w:sz w:val="24"/>
          <w:szCs w:val="24"/>
        </w:rPr>
        <w:t>lamentava una successiva modifica dell’autorizzazione stessa, in base alla quale era stata introdotta una scadenza di validità dell’autorizzazione entro la quale avrebbero dovuto cessare le emissioni derivanti dall’impianto.</w:t>
      </w:r>
    </w:p>
    <w:p w:rsidR="00074BC6" w:rsidRDefault="00074BC6" w:rsidP="00EF4EA3">
      <w:pPr>
        <w:pStyle w:val="PlainText"/>
        <w:ind w:right="1133"/>
        <w:jc w:val="both"/>
        <w:rPr>
          <w:rFonts w:ascii="Times New Roman" w:hAnsi="Times New Roman" w:cs="Times New Roman"/>
          <w:sz w:val="24"/>
          <w:szCs w:val="24"/>
        </w:rPr>
      </w:pPr>
      <w:r w:rsidRPr="00EF4EA3">
        <w:rPr>
          <w:rFonts w:ascii="Times New Roman" w:hAnsi="Times New Roman" w:cs="Times New Roman"/>
          <w:sz w:val="24"/>
          <w:szCs w:val="24"/>
        </w:rPr>
        <w:t>Nel respingere il ricorso</w:t>
      </w:r>
      <w:r>
        <w:rPr>
          <w:rFonts w:ascii="Times New Roman" w:hAnsi="Times New Roman" w:cs="Times New Roman"/>
          <w:sz w:val="24"/>
          <w:szCs w:val="24"/>
        </w:rPr>
        <w:t>,</w:t>
      </w:r>
      <w:r w:rsidRPr="00EF4EA3">
        <w:rPr>
          <w:rFonts w:ascii="Times New Roman" w:hAnsi="Times New Roman" w:cs="Times New Roman"/>
          <w:sz w:val="24"/>
          <w:szCs w:val="24"/>
        </w:rPr>
        <w:t xml:space="preserve"> il Tribunale osserva</w:t>
      </w:r>
      <w:r>
        <w:rPr>
          <w:rFonts w:ascii="Times New Roman" w:hAnsi="Times New Roman" w:cs="Times New Roman"/>
          <w:sz w:val="24"/>
          <w:szCs w:val="24"/>
        </w:rPr>
        <w:t>va</w:t>
      </w:r>
      <w:r w:rsidRPr="00EF4EA3">
        <w:rPr>
          <w:rFonts w:ascii="Times New Roman" w:hAnsi="Times New Roman" w:cs="Times New Roman"/>
          <w:sz w:val="24"/>
          <w:szCs w:val="24"/>
        </w:rPr>
        <w:t xml:space="preserve"> che </w:t>
      </w:r>
      <w:r>
        <w:rPr>
          <w:rFonts w:ascii="Times New Roman" w:hAnsi="Times New Roman" w:cs="Times New Roman"/>
          <w:sz w:val="24"/>
          <w:szCs w:val="24"/>
        </w:rPr>
        <w:t>“</w:t>
      </w:r>
      <w:r w:rsidRPr="00EF4EA3">
        <w:rPr>
          <w:rFonts w:ascii="Times New Roman" w:hAnsi="Times New Roman" w:cs="Times New Roman"/>
          <w:i/>
          <w:iCs/>
          <w:sz w:val="24"/>
          <w:szCs w:val="24"/>
        </w:rPr>
        <w:t>dagli studi effettuati dall’Amministrazione è emerso che gli impianti a gasolio non erano più adeguati alla migliore tecnica disponibile, in base a quanto disposto dall’art. 2, punto 7, d</w:t>
      </w:r>
      <w:r>
        <w:rPr>
          <w:rFonts w:ascii="Times New Roman" w:hAnsi="Times New Roman" w:cs="Times New Roman"/>
          <w:i/>
          <w:iCs/>
          <w:sz w:val="24"/>
          <w:szCs w:val="24"/>
        </w:rPr>
        <w:t xml:space="preserve">el DPR 203/1988, che impone un </w:t>
      </w:r>
      <w:r w:rsidRPr="00EF4EA3">
        <w:rPr>
          <w:rFonts w:ascii="Times New Roman" w:hAnsi="Times New Roman" w:cs="Times New Roman"/>
          <w:i/>
          <w:iCs/>
          <w:sz w:val="24"/>
          <w:szCs w:val="24"/>
        </w:rPr>
        <w:t>sistema tecnologico adeguatamente verificato e sperimentato che consente il contenimento e/o la riduzione, delle emissioni a livelli accettabili per la protezione della salute e dell’ambiente, sempre che l’applicazione di tali misure non comporti costi eccessivi</w:t>
      </w:r>
      <w:r w:rsidRPr="00EF4EA3">
        <w:rPr>
          <w:rFonts w:ascii="Times New Roman" w:hAnsi="Times New Roman" w:cs="Times New Roman"/>
          <w:sz w:val="24"/>
          <w:szCs w:val="24"/>
        </w:rPr>
        <w:t xml:space="preserve">”. </w:t>
      </w:r>
    </w:p>
    <w:p w:rsidR="00074BC6" w:rsidRPr="00EF4EA3" w:rsidRDefault="00074BC6" w:rsidP="00EF4EA3">
      <w:pPr>
        <w:pStyle w:val="PlainText"/>
        <w:ind w:right="1133"/>
        <w:jc w:val="both"/>
        <w:rPr>
          <w:rFonts w:ascii="Times New Roman" w:hAnsi="Times New Roman" w:cs="Times New Roman"/>
          <w:i/>
          <w:iCs/>
          <w:sz w:val="24"/>
          <w:szCs w:val="24"/>
        </w:rPr>
      </w:pPr>
      <w:r w:rsidRPr="00EF4EA3">
        <w:rPr>
          <w:rFonts w:ascii="Times New Roman" w:hAnsi="Times New Roman" w:cs="Times New Roman"/>
          <w:sz w:val="24"/>
          <w:szCs w:val="24"/>
        </w:rPr>
        <w:t>In questo senso “</w:t>
      </w:r>
      <w:r w:rsidRPr="00EF4EA3">
        <w:rPr>
          <w:rFonts w:ascii="Times New Roman" w:hAnsi="Times New Roman" w:cs="Times New Roman"/>
          <w:i/>
          <w:iCs/>
          <w:sz w:val="24"/>
          <w:szCs w:val="24"/>
        </w:rPr>
        <w:t>tale imposizione, peraltro, ha una rilevanza comunitaria, atteso che essa risulta dalla Direttiva 96/61/CE ed è recepita dal D.Lgs. 59/2005 e dal D.Lgs</w:t>
      </w:r>
      <w:r>
        <w:rPr>
          <w:rFonts w:ascii="Times New Roman" w:hAnsi="Times New Roman" w:cs="Times New Roman"/>
          <w:i/>
          <w:iCs/>
          <w:sz w:val="24"/>
          <w:szCs w:val="24"/>
        </w:rPr>
        <w:t>.</w:t>
      </w:r>
      <w:r w:rsidRPr="00EF4EA3">
        <w:rPr>
          <w:rFonts w:ascii="Times New Roman" w:hAnsi="Times New Roman" w:cs="Times New Roman"/>
          <w:i/>
          <w:iCs/>
          <w:sz w:val="24"/>
          <w:szCs w:val="24"/>
        </w:rPr>
        <w:t xml:space="preserve"> 152/2006; la norma si riferisce alle tecniche e modalità di progettazione, costruzione, manutenzione ed esercizio degli impianti più efficaci per ottenere un elevato livello di protezione dell’ambiente, particolarmente sentito come interesse della collettività non solo europea, ma mondiale; tecniche e modalità che risultano sviluppate su una scala che ne consenta l’applicazione in condizioni economicamente e tecnicamente valide nell’ambito del p</w:t>
      </w:r>
      <w:r>
        <w:rPr>
          <w:rFonts w:ascii="Times New Roman" w:hAnsi="Times New Roman" w:cs="Times New Roman"/>
          <w:i/>
          <w:iCs/>
          <w:sz w:val="24"/>
          <w:szCs w:val="24"/>
        </w:rPr>
        <w:t xml:space="preserve">ertinente comparto industriale. </w:t>
      </w:r>
      <w:r w:rsidRPr="00EF4EA3">
        <w:rPr>
          <w:rFonts w:ascii="Times New Roman" w:hAnsi="Times New Roman" w:cs="Times New Roman"/>
          <w:i/>
          <w:iCs/>
          <w:sz w:val="24"/>
          <w:szCs w:val="24"/>
        </w:rPr>
        <w:t>Il ricorso alle migliori tecniche disponibili costituisce uno strumento alternativo, complementare ed elastico (in punto maggiormente rispondente al progresso tecnologico e alle esigenze industriali), rispetto a quello consistente nella fissazione diretta di limiti inderogabili al rilascio di sostanze inquinanti.</w:t>
      </w:r>
    </w:p>
    <w:p w:rsidR="00074BC6" w:rsidRPr="00EF4EA3" w:rsidRDefault="00074BC6" w:rsidP="00EF4EA3">
      <w:pPr>
        <w:ind w:right="1133"/>
        <w:jc w:val="both"/>
        <w:rPr>
          <w:color w:val="000080"/>
          <w:sz w:val="24"/>
          <w:szCs w:val="24"/>
        </w:rPr>
      </w:pPr>
      <w:r w:rsidRPr="00EF4EA3">
        <w:rPr>
          <w:i/>
          <w:iCs/>
          <w:sz w:val="24"/>
          <w:szCs w:val="24"/>
        </w:rPr>
        <w:t>Infatti, nel sistema tratteggiato dal D.P.R. 203/1988, l’impresa che intende ottenere il rilascio dell’autorizzazione alle emissioni in atmosfera è tenuta a progettare e ad adottare tutte le misure adeguate in vista del progressivo adattamento degli impianti esistenti alla migliore tecnica disponibile, con un obbligo speciale, imposto alle imprese che inquinano, a protezione del bene supremo dell’ambiente</w:t>
      </w:r>
      <w:r w:rsidRPr="00EF4EA3">
        <w:rPr>
          <w:sz w:val="24"/>
          <w:szCs w:val="24"/>
        </w:rPr>
        <w:t>”</w:t>
      </w:r>
      <w:r w:rsidRPr="00EF4EA3">
        <w:rPr>
          <w:color w:val="000080"/>
          <w:sz w:val="24"/>
          <w:szCs w:val="24"/>
        </w:rPr>
        <w:t xml:space="preserve"> </w:t>
      </w:r>
      <w:r w:rsidRPr="00EF4EA3">
        <w:rPr>
          <w:rStyle w:val="FootnoteReference"/>
          <w:color w:val="000080"/>
          <w:sz w:val="24"/>
          <w:szCs w:val="24"/>
        </w:rPr>
        <w:footnoteReference w:id="15"/>
      </w:r>
      <w:r>
        <w:rPr>
          <w:color w:val="000080"/>
          <w:sz w:val="24"/>
          <w:szCs w:val="24"/>
        </w:rPr>
        <w:t>.</w:t>
      </w:r>
    </w:p>
    <w:p w:rsidR="00074BC6" w:rsidRPr="00EF4EA3" w:rsidRDefault="00074BC6" w:rsidP="00EF4EA3">
      <w:pPr>
        <w:pStyle w:val="BodyText3"/>
        <w:ind w:right="1133"/>
        <w:rPr>
          <w:b w:val="0"/>
          <w:bCs w:val="0"/>
          <w:sz w:val="24"/>
          <w:szCs w:val="24"/>
        </w:rPr>
      </w:pPr>
      <w:r w:rsidRPr="00EF4EA3">
        <w:rPr>
          <w:b w:val="0"/>
          <w:bCs w:val="0"/>
          <w:sz w:val="24"/>
          <w:szCs w:val="24"/>
        </w:rPr>
        <w:t>Il tema de</w:t>
      </w:r>
      <w:r>
        <w:rPr>
          <w:b w:val="0"/>
          <w:bCs w:val="0"/>
          <w:sz w:val="24"/>
          <w:szCs w:val="24"/>
        </w:rPr>
        <w:t xml:space="preserve">ll’aggiornamento tecnologico </w:t>
      </w:r>
      <w:r w:rsidRPr="00EF4EA3">
        <w:rPr>
          <w:b w:val="0"/>
          <w:bCs w:val="0"/>
          <w:sz w:val="24"/>
          <w:szCs w:val="24"/>
        </w:rPr>
        <w:t>si confronta quindi –</w:t>
      </w:r>
      <w:r>
        <w:rPr>
          <w:b w:val="0"/>
          <w:bCs w:val="0"/>
          <w:sz w:val="24"/>
          <w:szCs w:val="24"/>
        </w:rPr>
        <w:t xml:space="preserve"> formalmente e sostanzialmente – con quello dei costi</w:t>
      </w:r>
      <w:r w:rsidRPr="00EF4EA3">
        <w:rPr>
          <w:b w:val="0"/>
          <w:bCs w:val="0"/>
          <w:sz w:val="24"/>
          <w:szCs w:val="24"/>
        </w:rPr>
        <w:t xml:space="preserve"> eccessivi dell’aggiornamento stesso, specie laddove il concetto di miglior tecnologia disponibile venga inteso in termini di particolare ampiezza. </w:t>
      </w:r>
    </w:p>
    <w:p w:rsidR="00074BC6" w:rsidRPr="00EF4EA3" w:rsidRDefault="00074BC6" w:rsidP="00EF4EA3">
      <w:pPr>
        <w:pStyle w:val="BodyText3"/>
        <w:ind w:right="1133"/>
        <w:rPr>
          <w:b w:val="0"/>
          <w:bCs w:val="0"/>
          <w:sz w:val="24"/>
          <w:szCs w:val="24"/>
        </w:rPr>
      </w:pPr>
      <w:r w:rsidRPr="00EF4EA3">
        <w:rPr>
          <w:b w:val="0"/>
          <w:bCs w:val="0"/>
          <w:sz w:val="24"/>
          <w:szCs w:val="24"/>
        </w:rPr>
        <w:t>Le indicazioni normative sopra riportate</w:t>
      </w:r>
      <w:r>
        <w:rPr>
          <w:b w:val="0"/>
          <w:bCs w:val="0"/>
          <w:sz w:val="24"/>
          <w:szCs w:val="24"/>
        </w:rPr>
        <w:t xml:space="preserve"> – pure modificatesi negli anni –</w:t>
      </w:r>
      <w:r w:rsidRPr="00EF4EA3">
        <w:rPr>
          <w:b w:val="0"/>
          <w:bCs w:val="0"/>
          <w:sz w:val="24"/>
          <w:szCs w:val="24"/>
        </w:rPr>
        <w:t xml:space="preserve"> pongono</w:t>
      </w:r>
      <w:r>
        <w:rPr>
          <w:b w:val="0"/>
          <w:bCs w:val="0"/>
          <w:sz w:val="24"/>
          <w:szCs w:val="24"/>
        </w:rPr>
        <w:t xml:space="preserve"> in realtà sul punto</w:t>
      </w:r>
      <w:r w:rsidRPr="00EF4EA3">
        <w:rPr>
          <w:b w:val="0"/>
          <w:bCs w:val="0"/>
          <w:sz w:val="24"/>
          <w:szCs w:val="24"/>
        </w:rPr>
        <w:t xml:space="preserve"> gravi perplessità sott</w:t>
      </w:r>
      <w:r>
        <w:rPr>
          <w:b w:val="0"/>
          <w:bCs w:val="0"/>
          <w:sz w:val="24"/>
          <w:szCs w:val="24"/>
        </w:rPr>
        <w:t xml:space="preserve">o un duplice profilo: </w:t>
      </w:r>
      <w:r w:rsidRPr="00EF4EA3">
        <w:rPr>
          <w:b w:val="0"/>
          <w:bCs w:val="0"/>
          <w:sz w:val="24"/>
          <w:szCs w:val="24"/>
        </w:rPr>
        <w:t xml:space="preserve">da un lato non precisano in base a quali parametri aziendali oggettivi possano essere effettuate le valutazioni patrimoniali sulla fattibilità </w:t>
      </w:r>
      <w:r>
        <w:rPr>
          <w:b w:val="0"/>
          <w:bCs w:val="0"/>
          <w:sz w:val="24"/>
          <w:szCs w:val="24"/>
        </w:rPr>
        <w:t>dell’applicazione tecnologica e</w:t>
      </w:r>
      <w:r w:rsidRPr="00EF4EA3">
        <w:rPr>
          <w:b w:val="0"/>
          <w:bCs w:val="0"/>
          <w:sz w:val="24"/>
          <w:szCs w:val="24"/>
        </w:rPr>
        <w:t xml:space="preserve"> dall’altro sembrerebbero subordinare la tutela degli interessi “ambientali” a valutazioni di carattere patrimoniale, proponendo un bilanciamento di interessi non sintonico rispetto alla carta Costituzionale </w:t>
      </w:r>
      <w:r w:rsidRPr="00EF4EA3">
        <w:rPr>
          <w:rStyle w:val="FootnoteReference"/>
          <w:b w:val="0"/>
          <w:bCs w:val="0"/>
          <w:sz w:val="24"/>
          <w:szCs w:val="24"/>
        </w:rPr>
        <w:footnoteReference w:id="16"/>
      </w:r>
      <w:r w:rsidRPr="00EF4EA3">
        <w:rPr>
          <w:b w:val="0"/>
          <w:bCs w:val="0"/>
          <w:sz w:val="24"/>
          <w:szCs w:val="24"/>
        </w:rPr>
        <w:t xml:space="preserve"> . </w:t>
      </w:r>
    </w:p>
    <w:p w:rsidR="00074BC6" w:rsidRDefault="00074BC6" w:rsidP="00EF4EA3">
      <w:pPr>
        <w:pStyle w:val="BodyText3"/>
        <w:ind w:right="1133"/>
        <w:rPr>
          <w:b w:val="0"/>
          <w:bCs w:val="0"/>
          <w:sz w:val="24"/>
          <w:szCs w:val="24"/>
        </w:rPr>
      </w:pPr>
      <w:r w:rsidRPr="00EF4EA3">
        <w:rPr>
          <w:b w:val="0"/>
          <w:bCs w:val="0"/>
          <w:sz w:val="24"/>
          <w:szCs w:val="24"/>
        </w:rPr>
        <w:t>Anche in assenza di parametri precisi</w:t>
      </w:r>
      <w:r>
        <w:rPr>
          <w:b w:val="0"/>
          <w:bCs w:val="0"/>
          <w:sz w:val="24"/>
          <w:szCs w:val="24"/>
        </w:rPr>
        <w:t>,</w:t>
      </w:r>
      <w:r w:rsidRPr="00EF4EA3">
        <w:rPr>
          <w:b w:val="0"/>
          <w:bCs w:val="0"/>
          <w:sz w:val="24"/>
          <w:szCs w:val="24"/>
        </w:rPr>
        <w:t xml:space="preserve"> è certo che l’ordinamento nel suo insieme non può rimettere la tutela del bene ambiente in funzion</w:t>
      </w:r>
      <w:r>
        <w:rPr>
          <w:b w:val="0"/>
          <w:bCs w:val="0"/>
          <w:sz w:val="24"/>
          <w:szCs w:val="24"/>
        </w:rPr>
        <w:t>e dell’adeguamento tecnologico</w:t>
      </w:r>
      <w:r w:rsidRPr="00EF4EA3">
        <w:rPr>
          <w:b w:val="0"/>
          <w:bCs w:val="0"/>
          <w:sz w:val="24"/>
          <w:szCs w:val="24"/>
        </w:rPr>
        <w:t xml:space="preserve"> a valutazione discrezional</w:t>
      </w:r>
      <w:r>
        <w:rPr>
          <w:b w:val="0"/>
          <w:bCs w:val="0"/>
          <w:sz w:val="24"/>
          <w:szCs w:val="24"/>
        </w:rPr>
        <w:t>i sulla possibilità di esigere</w:t>
      </w:r>
      <w:r w:rsidRPr="00EF4EA3">
        <w:rPr>
          <w:b w:val="0"/>
          <w:bCs w:val="0"/>
          <w:sz w:val="24"/>
          <w:szCs w:val="24"/>
        </w:rPr>
        <w:t xml:space="preserve"> determinate condotte. </w:t>
      </w:r>
    </w:p>
    <w:p w:rsidR="00074BC6" w:rsidRPr="00EF4EA3" w:rsidRDefault="00074BC6" w:rsidP="00EF4EA3">
      <w:pPr>
        <w:pStyle w:val="BodyText3"/>
        <w:ind w:right="1133"/>
        <w:rPr>
          <w:rFonts w:eastAsia="MS Mincho"/>
          <w:b w:val="0"/>
          <w:bCs w:val="0"/>
          <w:sz w:val="24"/>
          <w:szCs w:val="24"/>
        </w:rPr>
      </w:pPr>
      <w:r w:rsidRPr="00EF4EA3">
        <w:rPr>
          <w:b w:val="0"/>
          <w:bCs w:val="0"/>
          <w:sz w:val="24"/>
          <w:szCs w:val="24"/>
        </w:rPr>
        <w:t>Ad integrazione delle consider</w:t>
      </w:r>
      <w:r>
        <w:rPr>
          <w:b w:val="0"/>
          <w:bCs w:val="0"/>
          <w:sz w:val="24"/>
          <w:szCs w:val="24"/>
        </w:rPr>
        <w:t xml:space="preserve">azioni sopra svolte si osserva – </w:t>
      </w:r>
      <w:r w:rsidRPr="00EF4EA3">
        <w:rPr>
          <w:b w:val="0"/>
          <w:bCs w:val="0"/>
          <w:sz w:val="24"/>
          <w:szCs w:val="24"/>
        </w:rPr>
        <w:t xml:space="preserve">sul piano puramente logico – che accertare </w:t>
      </w:r>
      <w:r>
        <w:rPr>
          <w:b w:val="0"/>
          <w:bCs w:val="0"/>
          <w:sz w:val="24"/>
          <w:szCs w:val="24"/>
        </w:rPr>
        <w:t xml:space="preserve">il criterio della esigibilità – </w:t>
      </w:r>
      <w:r w:rsidRPr="00EF4EA3">
        <w:rPr>
          <w:b w:val="0"/>
          <w:bCs w:val="0"/>
          <w:sz w:val="24"/>
          <w:szCs w:val="24"/>
        </w:rPr>
        <w:t>o megli</w:t>
      </w:r>
      <w:r>
        <w:rPr>
          <w:b w:val="0"/>
          <w:bCs w:val="0"/>
          <w:sz w:val="24"/>
          <w:szCs w:val="24"/>
        </w:rPr>
        <w:t xml:space="preserve">o della non esigibilità – </w:t>
      </w:r>
      <w:r w:rsidRPr="00EF4EA3">
        <w:rPr>
          <w:b w:val="0"/>
          <w:bCs w:val="0"/>
          <w:sz w:val="24"/>
          <w:szCs w:val="24"/>
        </w:rPr>
        <w:t xml:space="preserve"> presupporrebbe l’individuazione di un modello comportamentale generale ed as</w:t>
      </w:r>
      <w:r>
        <w:rPr>
          <w:b w:val="0"/>
          <w:bCs w:val="0"/>
          <w:sz w:val="24"/>
          <w:szCs w:val="24"/>
        </w:rPr>
        <w:t>tratto al quale rapportare il grado della richiesta: “</w:t>
      </w:r>
      <w:r w:rsidRPr="006B2CBD">
        <w:rPr>
          <w:rFonts w:eastAsia="MS Mincho"/>
          <w:b w:val="0"/>
          <w:bCs w:val="0"/>
          <w:i/>
          <w:iCs/>
          <w:sz w:val="24"/>
          <w:szCs w:val="24"/>
        </w:rPr>
        <w:t>spesso quello che poteva essere esigibile per un tipo di soggetto non lo sarebbe stato per un altro, per il quale l’osservanza della regola cautelare non poteva richiedersi, salvo il rischio di voler mascherare ipotesi di responsabilità oggettiva</w:t>
      </w:r>
      <w:r w:rsidRPr="00EF4EA3">
        <w:rPr>
          <w:rFonts w:eastAsia="MS Mincho"/>
          <w:b w:val="0"/>
          <w:bCs w:val="0"/>
          <w:sz w:val="24"/>
          <w:szCs w:val="24"/>
        </w:rPr>
        <w:t>”</w:t>
      </w:r>
      <w:r w:rsidRPr="00EF4EA3">
        <w:rPr>
          <w:rStyle w:val="FootnoteReference"/>
          <w:rFonts w:eastAsia="MS Mincho"/>
          <w:b w:val="0"/>
          <w:bCs w:val="0"/>
          <w:sz w:val="24"/>
          <w:szCs w:val="24"/>
        </w:rPr>
        <w:footnoteReference w:id="17"/>
      </w:r>
      <w:r>
        <w:rPr>
          <w:rFonts w:eastAsia="MS Mincho"/>
          <w:b w:val="0"/>
          <w:bCs w:val="0"/>
          <w:sz w:val="24"/>
          <w:szCs w:val="24"/>
        </w:rPr>
        <w:t xml:space="preserve">. </w:t>
      </w:r>
    </w:p>
    <w:p w:rsidR="00074BC6" w:rsidRDefault="00074BC6" w:rsidP="00EF4EA3">
      <w:pPr>
        <w:pStyle w:val="PlainText"/>
        <w:ind w:right="1133"/>
        <w:jc w:val="both"/>
        <w:rPr>
          <w:rFonts w:ascii="Times New Roman" w:eastAsia="MS Mincho" w:hAnsi="Times New Roman"/>
          <w:sz w:val="24"/>
          <w:szCs w:val="24"/>
        </w:rPr>
      </w:pPr>
      <w:r w:rsidRPr="00EF4EA3">
        <w:rPr>
          <w:rFonts w:ascii="Times New Roman" w:eastAsia="MS Mincho" w:hAnsi="Times New Roman" w:cs="Times New Roman"/>
          <w:sz w:val="24"/>
          <w:szCs w:val="24"/>
        </w:rPr>
        <w:t xml:space="preserve">E’ d’altro canto altrettanto evidente che il dato dell’investimento tecnologico assume una valenza organizzativa e patrimoniale che non può non coinvolgere le scelte generali dell’impresa ed i soggetti alla medesima preposti. </w:t>
      </w:r>
    </w:p>
    <w:p w:rsidR="00074BC6" w:rsidRPr="00EF4EA3" w:rsidRDefault="00074BC6" w:rsidP="00EF4EA3">
      <w:pPr>
        <w:pStyle w:val="PlainText"/>
        <w:ind w:right="1133"/>
        <w:jc w:val="both"/>
        <w:rPr>
          <w:rFonts w:eastAsia="MS Mincho"/>
          <w:b/>
          <w:bCs/>
          <w:sz w:val="24"/>
          <w:szCs w:val="24"/>
        </w:rPr>
      </w:pPr>
      <w:r w:rsidRPr="00EF4EA3">
        <w:rPr>
          <w:rFonts w:ascii="Times New Roman" w:eastAsia="MS Mincho" w:hAnsi="Times New Roman" w:cs="Times New Roman"/>
          <w:sz w:val="24"/>
          <w:szCs w:val="24"/>
        </w:rPr>
        <w:t>Decidere quanto e come spendere al proposito è quindi elemento primario nella politica di bilancio: la scelta di spendere – o piuttosto quella di n</w:t>
      </w:r>
      <w:r>
        <w:rPr>
          <w:rFonts w:ascii="Times New Roman" w:eastAsia="MS Mincho" w:hAnsi="Times New Roman" w:cs="Times New Roman"/>
          <w:sz w:val="24"/>
          <w:szCs w:val="24"/>
        </w:rPr>
        <w:t>on spendere, o spendere male –</w:t>
      </w:r>
      <w:r w:rsidRPr="00EF4EA3">
        <w:rPr>
          <w:rFonts w:ascii="Times New Roman" w:eastAsia="MS Mincho" w:hAnsi="Times New Roman" w:cs="Times New Roman"/>
          <w:sz w:val="24"/>
          <w:szCs w:val="24"/>
        </w:rPr>
        <w:t xml:space="preserve"> rileva quindi direttamente non solo in ordine alle valutazioni sulla colpa,</w:t>
      </w:r>
      <w:r>
        <w:rPr>
          <w:rFonts w:ascii="Times New Roman" w:eastAsia="MS Mincho" w:hAnsi="Times New Roman" w:cs="Times New Roman"/>
          <w:sz w:val="24"/>
          <w:szCs w:val="24"/>
        </w:rPr>
        <w:t xml:space="preserve"> ma anche – </w:t>
      </w:r>
      <w:r w:rsidRPr="00EF4EA3">
        <w:rPr>
          <w:rFonts w:ascii="Times New Roman" w:eastAsia="MS Mincho" w:hAnsi="Times New Roman" w:cs="Times New Roman"/>
          <w:sz w:val="24"/>
          <w:szCs w:val="24"/>
        </w:rPr>
        <w:t>non si può certame</w:t>
      </w:r>
      <w:r>
        <w:rPr>
          <w:rFonts w:ascii="Times New Roman" w:eastAsia="MS Mincho" w:hAnsi="Times New Roman" w:cs="Times New Roman"/>
          <w:sz w:val="24"/>
          <w:szCs w:val="24"/>
        </w:rPr>
        <w:t xml:space="preserve">nte escludere tale prospettiva – </w:t>
      </w:r>
      <w:r w:rsidRPr="00EF4EA3">
        <w:rPr>
          <w:rFonts w:ascii="Times New Roman" w:eastAsia="MS Mincho" w:hAnsi="Times New Roman" w:cs="Times New Roman"/>
          <w:sz w:val="24"/>
          <w:szCs w:val="24"/>
        </w:rPr>
        <w:t>nei casi in cui eventuali omissioni di adeguamento che abbiano in concreto determinato</w:t>
      </w:r>
      <w:r>
        <w:rPr>
          <w:rFonts w:ascii="Times New Roman" w:eastAsia="MS Mincho" w:hAnsi="Times New Roman" w:cs="Times New Roman"/>
          <w:sz w:val="24"/>
          <w:szCs w:val="24"/>
        </w:rPr>
        <w:t xml:space="preserve"> ad esempio immissioni rilevanti </w:t>
      </w:r>
      <w:r w:rsidRPr="006B2CBD">
        <w:rPr>
          <w:rFonts w:ascii="Times New Roman" w:eastAsia="MS Mincho" w:hAnsi="Times New Roman" w:cs="Times New Roman"/>
          <w:i/>
          <w:iCs/>
          <w:sz w:val="24"/>
          <w:szCs w:val="24"/>
        </w:rPr>
        <w:t xml:space="preserve">ex </w:t>
      </w:r>
      <w:r w:rsidRPr="00EF4EA3">
        <w:rPr>
          <w:rFonts w:ascii="Times New Roman" w:eastAsia="MS Mincho" w:hAnsi="Times New Roman" w:cs="Times New Roman"/>
          <w:sz w:val="24"/>
          <w:szCs w:val="24"/>
        </w:rPr>
        <w:t>art 279, 5° co. d.lgs. 152/2006 e che come tali possano</w:t>
      </w:r>
      <w:r>
        <w:rPr>
          <w:rFonts w:ascii="Times New Roman" w:eastAsia="MS Mincho" w:hAnsi="Times New Roman" w:cs="Times New Roman"/>
          <w:sz w:val="24"/>
          <w:szCs w:val="24"/>
        </w:rPr>
        <w:t>,</w:t>
      </w:r>
      <w:r w:rsidRPr="00EF4EA3">
        <w:rPr>
          <w:rFonts w:ascii="Times New Roman" w:eastAsia="MS Mincho" w:hAnsi="Times New Roman" w:cs="Times New Roman"/>
          <w:sz w:val="24"/>
          <w:szCs w:val="24"/>
        </w:rPr>
        <w:t xml:space="preserve"> o debbano</w:t>
      </w:r>
      <w:r>
        <w:rPr>
          <w:rFonts w:ascii="Times New Roman" w:eastAsia="MS Mincho" w:hAnsi="Times New Roman" w:cs="Times New Roman"/>
          <w:sz w:val="24"/>
          <w:szCs w:val="24"/>
        </w:rPr>
        <w:t>,</w:t>
      </w:r>
      <w:r w:rsidRPr="00EF4EA3">
        <w:rPr>
          <w:rFonts w:ascii="Times New Roman" w:eastAsia="MS Mincho" w:hAnsi="Times New Roman" w:cs="Times New Roman"/>
          <w:sz w:val="24"/>
          <w:szCs w:val="24"/>
        </w:rPr>
        <w:t xml:space="preserve"> essere valutate anche in funzione del riconoscimento delle responsabilità delle persone giuridiche di cui al d.lgs. 231/2001.</w:t>
      </w:r>
    </w:p>
    <w:p w:rsidR="00074BC6" w:rsidRPr="00EF4EA3" w:rsidRDefault="00074BC6" w:rsidP="00EF4EA3">
      <w:pPr>
        <w:tabs>
          <w:tab w:val="left" w:pos="8505"/>
        </w:tabs>
        <w:ind w:right="1133"/>
        <w:jc w:val="both"/>
        <w:rPr>
          <w:sz w:val="24"/>
          <w:szCs w:val="24"/>
        </w:rPr>
      </w:pPr>
    </w:p>
    <w:sectPr w:rsidR="00074BC6" w:rsidRPr="00EF4EA3" w:rsidSect="00C24026">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C6" w:rsidRDefault="00074BC6" w:rsidP="008571DF">
      <w:r>
        <w:separator/>
      </w:r>
    </w:p>
  </w:endnote>
  <w:endnote w:type="continuationSeparator" w:id="0">
    <w:p w:rsidR="00074BC6" w:rsidRDefault="00074BC6" w:rsidP="0085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C6" w:rsidRDefault="00074BC6" w:rsidP="008571DF">
      <w:r>
        <w:separator/>
      </w:r>
    </w:p>
  </w:footnote>
  <w:footnote w:type="continuationSeparator" w:id="0">
    <w:p w:rsidR="00074BC6" w:rsidRDefault="00074BC6" w:rsidP="008571DF">
      <w:r>
        <w:continuationSeparator/>
      </w:r>
    </w:p>
  </w:footnote>
  <w:footnote w:id="1">
    <w:p w:rsidR="00074BC6" w:rsidRDefault="00074BC6" w:rsidP="006E3E26">
      <w:pPr>
        <w:pStyle w:val="FootnoteText"/>
        <w:ind w:right="1133"/>
        <w:jc w:val="both"/>
      </w:pPr>
      <w:r w:rsidRPr="009D22B2">
        <w:rPr>
          <w:rStyle w:val="FootnoteReference"/>
        </w:rPr>
        <w:footnoteRef/>
      </w:r>
      <w:r w:rsidRPr="009D22B2">
        <w:t xml:space="preserve"> Cfr. </w:t>
      </w:r>
      <w:r>
        <w:t>Cass.</w:t>
      </w:r>
      <w:r w:rsidRPr="009D22B2">
        <w:t xml:space="preserve">, </w:t>
      </w:r>
      <w:r>
        <w:t>Sez.</w:t>
      </w:r>
      <w:r w:rsidRPr="009D22B2">
        <w:t xml:space="preserve"> I, n.</w:t>
      </w:r>
      <w:r>
        <w:t xml:space="preserve"> </w:t>
      </w:r>
      <w:r w:rsidRPr="009D22B2">
        <w:t xml:space="preserve">3644, 4 aprile </w:t>
      </w:r>
      <w:smartTag w:uri="urn:schemas-microsoft-com:office:smarttags" w:element="metricconverter">
        <w:smartTagPr>
          <w:attr w:name="ProductID" w:val="1995, in"/>
        </w:smartTagPr>
        <w:r w:rsidRPr="009D22B2">
          <w:t>1995, in</w:t>
        </w:r>
      </w:smartTag>
      <w:r w:rsidRPr="009D22B2">
        <w:t xml:space="preserve"> </w:t>
      </w:r>
      <w:r w:rsidRPr="00987212">
        <w:rPr>
          <w:i/>
          <w:iCs/>
        </w:rPr>
        <w:t>C.E.D.</w:t>
      </w:r>
      <w:r>
        <w:t xml:space="preserve"> </w:t>
      </w:r>
      <w:r w:rsidRPr="00987212">
        <w:rPr>
          <w:i/>
          <w:iCs/>
        </w:rPr>
        <w:t>CASS</w:t>
      </w:r>
      <w:r>
        <w:t>.,</w:t>
      </w:r>
      <w:r w:rsidRPr="009D22B2">
        <w:t xml:space="preserve"> </w:t>
      </w:r>
      <w:r>
        <w:t xml:space="preserve">n. </w:t>
      </w:r>
      <w:r w:rsidRPr="009D22B2">
        <w:t>201583; nella  specie, in applicazione di tale principio, è stata esclu</w:t>
      </w:r>
      <w:r>
        <w:t xml:space="preserve">sa la sussistenza  del  reato  </w:t>
      </w:r>
      <w:r w:rsidRPr="009D22B2">
        <w:rPr>
          <w:i/>
          <w:iCs/>
        </w:rPr>
        <w:t>de quo</w:t>
      </w:r>
      <w:r w:rsidRPr="009D22B2">
        <w:t xml:space="preserve"> in un caso in cui, essendo stata depositata della  sansa in un piazzale privato, quantitativi</w:t>
      </w:r>
      <w:r>
        <w:t xml:space="preserve"> di detta sostanza erano finiti</w:t>
      </w:r>
      <w:r w:rsidRPr="009D22B2">
        <w:t xml:space="preserve"> sulla adiacente via pubblica</w:t>
      </w:r>
      <w:r>
        <w:t>, cagionando problemi a</w:t>
      </w:r>
      <w:r w:rsidRPr="009D22B2">
        <w:t>l transito di pedoni e veicoli fra</w:t>
      </w:r>
      <w:r>
        <w:t xml:space="preserve"> il detto piazzale e la</w:t>
      </w:r>
      <w:r w:rsidRPr="009D22B2">
        <w:t xml:space="preserve"> via.</w:t>
      </w:r>
    </w:p>
  </w:footnote>
  <w:footnote w:id="2">
    <w:p w:rsidR="00074BC6" w:rsidRDefault="00074BC6" w:rsidP="006E3E26">
      <w:pPr>
        <w:pStyle w:val="FootnoteText"/>
        <w:ind w:right="1133"/>
        <w:jc w:val="both"/>
      </w:pPr>
      <w:r w:rsidRPr="009D22B2">
        <w:rPr>
          <w:rStyle w:val="FootnoteReference"/>
        </w:rPr>
        <w:footnoteRef/>
      </w:r>
      <w:r w:rsidRPr="009D22B2">
        <w:t xml:space="preserve"> Cfr. </w:t>
      </w:r>
      <w:r>
        <w:t>Cass.</w:t>
      </w:r>
      <w:r w:rsidRPr="009D22B2">
        <w:t xml:space="preserve">, </w:t>
      </w:r>
      <w:r>
        <w:t>Sez.</w:t>
      </w:r>
      <w:r w:rsidRPr="009D22B2">
        <w:t xml:space="preserve"> I n. 12748, 21 dicembre </w:t>
      </w:r>
      <w:smartTag w:uri="urn:schemas-microsoft-com:office:smarttags" w:element="metricconverter">
        <w:smartTagPr>
          <w:attr w:name="ProductID" w:val="1995, in"/>
        </w:smartTagPr>
        <w:r w:rsidRPr="009D22B2">
          <w:t>1995, in</w:t>
        </w:r>
      </w:smartTag>
      <w:r w:rsidRPr="009D22B2">
        <w:t xml:space="preserve"> </w:t>
      </w:r>
      <w:r w:rsidRPr="00987212">
        <w:rPr>
          <w:i/>
          <w:iCs/>
        </w:rPr>
        <w:t>C.E.D.</w:t>
      </w:r>
      <w:r>
        <w:t xml:space="preserve"> </w:t>
      </w:r>
      <w:r w:rsidRPr="00987212">
        <w:rPr>
          <w:i/>
          <w:iCs/>
        </w:rPr>
        <w:t>CASS</w:t>
      </w:r>
      <w:r>
        <w:t xml:space="preserve">., n. </w:t>
      </w:r>
      <w:r w:rsidRPr="009D22B2">
        <w:t>203330; nella fattispecie si</w:t>
      </w:r>
      <w:r>
        <w:t xml:space="preserve"> trattava di  prodotto liquido</w:t>
      </w:r>
      <w:r w:rsidRPr="009D22B2">
        <w:t xml:space="preserve"> che, trasportato su trattore con ci</w:t>
      </w:r>
      <w:r>
        <w:t>sterna, fuoriusciva sulla  sede stradale a causa</w:t>
      </w:r>
      <w:r w:rsidRPr="009D22B2">
        <w:t xml:space="preserve"> della  corrosione delle paratie del mezzo di trasporto.</w:t>
      </w:r>
    </w:p>
  </w:footnote>
  <w:footnote w:id="3">
    <w:p w:rsidR="00074BC6" w:rsidRDefault="00074BC6" w:rsidP="006E3E26">
      <w:pPr>
        <w:pStyle w:val="FootnoteText"/>
        <w:ind w:right="1133"/>
        <w:jc w:val="both"/>
      </w:pPr>
      <w:r w:rsidRPr="009D22B2">
        <w:rPr>
          <w:rStyle w:val="FootnoteReference"/>
        </w:rPr>
        <w:footnoteRef/>
      </w:r>
      <w:r w:rsidRPr="009D22B2">
        <w:t xml:space="preserve"> Così </w:t>
      </w:r>
      <w:r>
        <w:t>Cass.</w:t>
      </w:r>
      <w:r w:rsidRPr="009D22B2">
        <w:t xml:space="preserve">, </w:t>
      </w:r>
      <w:r>
        <w:t>Sez.</w:t>
      </w:r>
      <w:r w:rsidRPr="009D22B2">
        <w:t xml:space="preserve"> VI, n. 8449, 16 maggio </w:t>
      </w:r>
      <w:smartTag w:uri="urn:schemas-microsoft-com:office:smarttags" w:element="metricconverter">
        <w:smartTagPr>
          <w:attr w:name="ProductID" w:val="1985, in"/>
        </w:smartTagPr>
        <w:r w:rsidRPr="009D22B2">
          <w:t>1985, in</w:t>
        </w:r>
      </w:smartTag>
      <w:r w:rsidRPr="009D22B2">
        <w:t xml:space="preserve">  </w:t>
      </w:r>
      <w:r w:rsidRPr="00987212">
        <w:rPr>
          <w:i/>
          <w:iCs/>
        </w:rPr>
        <w:t>Cass. pen.</w:t>
      </w:r>
      <w:r>
        <w:t xml:space="preserve">, </w:t>
      </w:r>
      <w:r w:rsidRPr="009D22B2">
        <w:t xml:space="preserve">1988, p. </w:t>
      </w:r>
      <w:smartTag w:uri="urn:schemas-microsoft-com:office:smarttags" w:element="metricconverter">
        <w:smartTagPr>
          <w:attr w:name="ProductID" w:val="1020, in"/>
        </w:smartTagPr>
        <w:r w:rsidRPr="009D22B2">
          <w:t>1020, in</w:t>
        </w:r>
      </w:smartTag>
      <w:r>
        <w:t xml:space="preserve"> tema </w:t>
      </w:r>
      <w:r w:rsidRPr="009D22B2">
        <w:t>di dispersione all'esterno d</w:t>
      </w:r>
      <w:r>
        <w:t>i polveri a causa del prelievo di materiali effettuato da operai all'interno di uno stabilimento  industriale, in concomitanza di</w:t>
      </w:r>
      <w:r w:rsidRPr="009D22B2">
        <w:t xml:space="preserve"> fenomeni ventosi.</w:t>
      </w:r>
    </w:p>
  </w:footnote>
  <w:footnote w:id="4">
    <w:p w:rsidR="00074BC6" w:rsidRDefault="00074BC6" w:rsidP="006E3E26">
      <w:pPr>
        <w:pStyle w:val="FootnoteText"/>
        <w:ind w:right="1133"/>
        <w:jc w:val="both"/>
      </w:pPr>
      <w:r w:rsidRPr="009D22B2">
        <w:rPr>
          <w:rStyle w:val="FootnoteReference"/>
        </w:rPr>
        <w:footnoteRef/>
      </w:r>
      <w:r w:rsidRPr="009D22B2">
        <w:t xml:space="preserve"> Cfr. </w:t>
      </w:r>
      <w:r>
        <w:t>Cass.</w:t>
      </w:r>
      <w:r w:rsidRPr="009D22B2">
        <w:t xml:space="preserve"> </w:t>
      </w:r>
      <w:r>
        <w:t>Sez.</w:t>
      </w:r>
      <w:r w:rsidRPr="009D22B2">
        <w:t xml:space="preserve"> III, n. 10021, 30 settembre </w:t>
      </w:r>
      <w:smartTag w:uri="urn:schemas-microsoft-com:office:smarttags" w:element="metricconverter">
        <w:smartTagPr>
          <w:attr w:name="ProductID" w:val="1995, in"/>
        </w:smartTagPr>
        <w:r w:rsidRPr="009D22B2">
          <w:t>1995, in</w:t>
        </w:r>
      </w:smartTag>
      <w:r w:rsidRPr="009D22B2">
        <w:t xml:space="preserve"> </w:t>
      </w:r>
      <w:r w:rsidRPr="00987212">
        <w:rPr>
          <w:i/>
          <w:iCs/>
        </w:rPr>
        <w:t>C.E.D</w:t>
      </w:r>
      <w:r>
        <w:t>.</w:t>
      </w:r>
      <w:r w:rsidRPr="00987212">
        <w:rPr>
          <w:i/>
          <w:iCs/>
        </w:rPr>
        <w:t xml:space="preserve"> CASS.</w:t>
      </w:r>
      <w:r>
        <w:t xml:space="preserve">, n. </w:t>
      </w:r>
      <w:r w:rsidRPr="009D22B2">
        <w:t>203481</w:t>
      </w:r>
      <w:r>
        <w:t>.</w:t>
      </w:r>
    </w:p>
  </w:footnote>
  <w:footnote w:id="5">
    <w:p w:rsidR="00074BC6" w:rsidRDefault="00074BC6" w:rsidP="006E3E26">
      <w:pPr>
        <w:pStyle w:val="FootnoteText"/>
        <w:ind w:right="1133"/>
        <w:jc w:val="both"/>
      </w:pPr>
      <w:r w:rsidRPr="009D22B2">
        <w:rPr>
          <w:rStyle w:val="FootnoteReference"/>
        </w:rPr>
        <w:footnoteRef/>
      </w:r>
      <w:r w:rsidRPr="009D22B2">
        <w:t xml:space="preserve"> Si tratta di </w:t>
      </w:r>
      <w:r>
        <w:t>Cass.</w:t>
      </w:r>
      <w:r w:rsidRPr="009D22B2">
        <w:t xml:space="preserve"> </w:t>
      </w:r>
      <w:r>
        <w:t>Sez.</w:t>
      </w:r>
      <w:r w:rsidRPr="009D22B2">
        <w:t xml:space="preserve"> III, 17 aprile 2009, n. </w:t>
      </w:r>
      <w:smartTag w:uri="urn:schemas-microsoft-com:office:smarttags" w:element="metricconverter">
        <w:smartTagPr>
          <w:attr w:name="ProductID" w:val="16286, in"/>
        </w:smartTagPr>
        <w:r w:rsidRPr="009D22B2">
          <w:t>16286, in</w:t>
        </w:r>
      </w:smartTag>
      <w:r w:rsidRPr="009D22B2">
        <w:t xml:space="preserve"> </w:t>
      </w:r>
      <w:hyperlink r:id="rId1" w:history="1">
        <w:r w:rsidRPr="00987212">
          <w:rPr>
            <w:rStyle w:val="Hyperlink"/>
            <w:i/>
            <w:iCs/>
          </w:rPr>
          <w:t>www.ambienteediritto.it</w:t>
        </w:r>
      </w:hyperlink>
    </w:p>
  </w:footnote>
  <w:footnote w:id="6">
    <w:p w:rsidR="00074BC6" w:rsidRDefault="00074BC6" w:rsidP="006E3E26">
      <w:pPr>
        <w:pStyle w:val="FootnoteText"/>
        <w:ind w:right="1133"/>
        <w:jc w:val="both"/>
      </w:pPr>
      <w:r w:rsidRPr="009D22B2">
        <w:rPr>
          <w:rStyle w:val="FootnoteReference"/>
        </w:rPr>
        <w:footnoteRef/>
      </w:r>
      <w:r w:rsidRPr="009D22B2">
        <w:t xml:space="preserve"> Sul tema v. altresì RAMACCI, </w:t>
      </w:r>
      <w:r w:rsidRPr="009D22B2">
        <w:rPr>
          <w:sz w:val="22"/>
          <w:szCs w:val="22"/>
        </w:rPr>
        <w:t>“</w:t>
      </w:r>
      <w:r w:rsidRPr="009D22B2">
        <w:rPr>
          <w:i/>
          <w:iCs/>
          <w:sz w:val="22"/>
          <w:szCs w:val="22"/>
        </w:rPr>
        <w:t>Articolo 674 cod. pen. e inquinamento atmosferico nella giurisprudenza della Cassazione</w:t>
      </w:r>
      <w:r w:rsidRPr="009D22B2">
        <w:rPr>
          <w:sz w:val="22"/>
          <w:szCs w:val="22"/>
        </w:rPr>
        <w:t xml:space="preserve">”, in </w:t>
      </w:r>
      <w:r w:rsidRPr="0034230D">
        <w:rPr>
          <w:i/>
          <w:iCs/>
          <w:sz w:val="22"/>
          <w:szCs w:val="22"/>
        </w:rPr>
        <w:t>Ambiente e sviluppo</w:t>
      </w:r>
      <w:r>
        <w:rPr>
          <w:sz w:val="22"/>
          <w:szCs w:val="22"/>
        </w:rPr>
        <w:t xml:space="preserve">, VII, </w:t>
      </w:r>
      <w:r w:rsidRPr="009D22B2">
        <w:rPr>
          <w:sz w:val="22"/>
          <w:szCs w:val="22"/>
        </w:rPr>
        <w:t>2009, p.620</w:t>
      </w:r>
      <w:r>
        <w:rPr>
          <w:sz w:val="22"/>
          <w:szCs w:val="22"/>
        </w:rPr>
        <w:t>.</w:t>
      </w:r>
    </w:p>
  </w:footnote>
  <w:footnote w:id="7">
    <w:p w:rsidR="00074BC6" w:rsidRDefault="00074BC6" w:rsidP="006E3E26">
      <w:pPr>
        <w:pStyle w:val="FootnoteText"/>
        <w:tabs>
          <w:tab w:val="left" w:pos="8505"/>
        </w:tabs>
        <w:ind w:right="1700"/>
      </w:pPr>
      <w:r w:rsidRPr="009D22B2">
        <w:rPr>
          <w:rStyle w:val="FootnoteReference"/>
        </w:rPr>
        <w:footnoteRef/>
      </w:r>
      <w:r w:rsidRPr="009D22B2">
        <w:t xml:space="preserve"> </w:t>
      </w:r>
      <w:r>
        <w:t>Cass.,</w:t>
      </w:r>
      <w:r w:rsidRPr="009D22B2">
        <w:t xml:space="preserve"> </w:t>
      </w:r>
      <w:r>
        <w:t>Sez.</w:t>
      </w:r>
      <w:r w:rsidRPr="009D22B2">
        <w:t xml:space="preserve"> III, n. 16286, 17 aprile </w:t>
      </w:r>
      <w:smartTag w:uri="urn:schemas-microsoft-com:office:smarttags" w:element="metricconverter">
        <w:smartTagPr>
          <w:attr w:name="ProductID" w:val="2009, in"/>
        </w:smartTagPr>
        <w:r w:rsidRPr="009D22B2">
          <w:t>2009, in</w:t>
        </w:r>
      </w:smartTag>
      <w:r w:rsidRPr="009D22B2">
        <w:t xml:space="preserve">  </w:t>
      </w:r>
      <w:hyperlink r:id="rId2" w:history="1">
        <w:r w:rsidRPr="0034230D">
          <w:rPr>
            <w:rStyle w:val="Hyperlink"/>
            <w:i/>
            <w:iCs/>
          </w:rPr>
          <w:t>www.ambienteediritto.it</w:t>
        </w:r>
      </w:hyperlink>
    </w:p>
  </w:footnote>
  <w:footnote w:id="8">
    <w:p w:rsidR="00074BC6" w:rsidRPr="009D22B2" w:rsidRDefault="00074BC6" w:rsidP="006E3E26">
      <w:pPr>
        <w:tabs>
          <w:tab w:val="left" w:pos="8505"/>
        </w:tabs>
        <w:ind w:right="1133"/>
        <w:jc w:val="both"/>
      </w:pPr>
      <w:r w:rsidRPr="009D22B2">
        <w:rPr>
          <w:rStyle w:val="FootnoteReference"/>
        </w:rPr>
        <w:footnoteRef/>
      </w:r>
      <w:r w:rsidRPr="009D22B2">
        <w:t xml:space="preserve"> Secondo </w:t>
      </w:r>
      <w:r>
        <w:t>Cass.</w:t>
      </w:r>
      <w:r w:rsidRPr="009D22B2">
        <w:t xml:space="preserve">, </w:t>
      </w:r>
      <w:r>
        <w:t>Sez.</w:t>
      </w:r>
      <w:r w:rsidRPr="009D22B2">
        <w:t xml:space="preserve"> I, n. 447, 22 settembre </w:t>
      </w:r>
      <w:smartTag w:uri="urn:schemas-microsoft-com:office:smarttags" w:element="metricconverter">
        <w:smartTagPr>
          <w:attr w:name="ProductID" w:val="1993, in"/>
        </w:smartTagPr>
        <w:r w:rsidRPr="009D22B2">
          <w:t>1993,</w:t>
        </w:r>
        <w:r>
          <w:t xml:space="preserve"> </w:t>
        </w:r>
        <w:r w:rsidRPr="009D22B2">
          <w:t>in</w:t>
        </w:r>
      </w:smartTag>
      <w:r w:rsidRPr="009D22B2">
        <w:t xml:space="preserve"> </w:t>
      </w:r>
      <w:r w:rsidRPr="0034230D">
        <w:rPr>
          <w:i/>
          <w:iCs/>
        </w:rPr>
        <w:t>C.E.D. CASS.</w:t>
      </w:r>
      <w:r>
        <w:t xml:space="preserve">, n. 195922 nel concetto di </w:t>
      </w:r>
      <w:r w:rsidRPr="009D22B2">
        <w:t>gettare o versare rientra</w:t>
      </w:r>
      <w:r>
        <w:t xml:space="preserve"> anche quello di diffondere, in qualunque modo</w:t>
      </w:r>
      <w:r w:rsidRPr="009D22B2">
        <w:t xml:space="preserve">, polveri nelle aree circostanti; analogamente </w:t>
      </w:r>
      <w:r>
        <w:t>Cass.,</w:t>
      </w:r>
      <w:r w:rsidRPr="009D22B2">
        <w:t xml:space="preserve"> </w:t>
      </w:r>
      <w:r>
        <w:t>Sez.</w:t>
      </w:r>
      <w:r w:rsidRPr="009D22B2">
        <w:t xml:space="preserve"> III, n. 42924, 23 ottobre </w:t>
      </w:r>
      <w:smartTag w:uri="urn:schemas-microsoft-com:office:smarttags" w:element="metricconverter">
        <w:smartTagPr>
          <w:attr w:name="ProductID" w:val="2002, in"/>
        </w:smartTagPr>
        <w:r w:rsidRPr="009D22B2">
          <w:t>2002, in</w:t>
        </w:r>
      </w:smartTag>
      <w:r w:rsidRPr="009D22B2">
        <w:t xml:space="preserve"> </w:t>
      </w:r>
      <w:r w:rsidRPr="0034230D">
        <w:rPr>
          <w:i/>
          <w:iCs/>
        </w:rPr>
        <w:t>C.E.D. CASS</w:t>
      </w:r>
      <w:r>
        <w:rPr>
          <w:i/>
          <w:iCs/>
        </w:rPr>
        <w:t xml:space="preserve">, </w:t>
      </w:r>
      <w:r w:rsidRPr="0034230D">
        <w:t xml:space="preserve">n. </w:t>
      </w:r>
      <w:r w:rsidRPr="009D22B2">
        <w:t>223033.</w:t>
      </w:r>
    </w:p>
    <w:p w:rsidR="00074BC6" w:rsidRDefault="00074BC6" w:rsidP="006E3E26">
      <w:pPr>
        <w:tabs>
          <w:tab w:val="left" w:pos="8505"/>
        </w:tabs>
        <w:ind w:right="1133"/>
        <w:jc w:val="both"/>
      </w:pPr>
    </w:p>
  </w:footnote>
  <w:footnote w:id="9">
    <w:p w:rsidR="00074BC6" w:rsidRDefault="00074BC6" w:rsidP="006E3E26">
      <w:pPr>
        <w:pStyle w:val="FootnoteText"/>
        <w:ind w:right="1133"/>
        <w:jc w:val="both"/>
      </w:pPr>
      <w:r>
        <w:rPr>
          <w:rStyle w:val="FootnoteReference"/>
        </w:rPr>
        <w:footnoteRef/>
      </w:r>
      <w:r>
        <w:t xml:space="preserve"> Così  Cass., sez. III, n. 3112,  1 ottobre 1993, in </w:t>
      </w:r>
      <w:r w:rsidRPr="009929C4">
        <w:rPr>
          <w:i/>
          <w:iCs/>
        </w:rPr>
        <w:t>Cass. pen.</w:t>
      </w:r>
      <w:r>
        <w:t>, 1995,1353; nel caso di specie la S.C ha precisato che l'impianto di depurazione non costituisce l'unico sistema di prevenzione, sicché i   responsabili dell'insediamento non devono soltanto preoccuparsi della sua corretta gestione, ma  verificare con opportune scelte strategiche (aventi valenza  economico-strutturale) che altri presidi siano predisposti (ad esempio vasche di decantazione) ove questi siano necessari.</w:t>
      </w:r>
    </w:p>
  </w:footnote>
  <w:footnote w:id="10">
    <w:p w:rsidR="00074BC6" w:rsidRDefault="00074BC6" w:rsidP="006E3E26">
      <w:pPr>
        <w:pStyle w:val="FootnoteText"/>
        <w:ind w:right="1133"/>
        <w:jc w:val="both"/>
      </w:pPr>
      <w:r>
        <w:rPr>
          <w:rStyle w:val="FootnoteReference"/>
        </w:rPr>
        <w:footnoteRef/>
      </w:r>
      <w:r>
        <w:t xml:space="preserve"> Cfr. Cass, Sez. III. n. 3454, 3 aprile 1995, in </w:t>
      </w:r>
      <w:r w:rsidRPr="00BE5755">
        <w:rPr>
          <w:i/>
          <w:iCs/>
        </w:rPr>
        <w:t>CED</w:t>
      </w:r>
      <w:r>
        <w:rPr>
          <w:i/>
          <w:iCs/>
        </w:rPr>
        <w:t>, n.</w:t>
      </w:r>
      <w:r>
        <w:t xml:space="preserve"> 201980.</w:t>
      </w:r>
    </w:p>
  </w:footnote>
  <w:footnote w:id="11">
    <w:p w:rsidR="00074BC6" w:rsidRDefault="00074BC6" w:rsidP="006E3E26">
      <w:pPr>
        <w:pStyle w:val="FootnoteText"/>
        <w:tabs>
          <w:tab w:val="left" w:pos="8505"/>
        </w:tabs>
        <w:ind w:right="1133"/>
        <w:jc w:val="both"/>
      </w:pPr>
      <w:r>
        <w:rPr>
          <w:rStyle w:val="FootnoteReference"/>
        </w:rPr>
        <w:footnoteRef/>
      </w:r>
      <w:r>
        <w:t xml:space="preserve"> In tema di sicurezza sul lavoro C. Cost, sent. n. 132 del 18 luglio 1996: la Corte ha ritenuto che “</w:t>
      </w:r>
      <w:r w:rsidRPr="00BE5755">
        <w:rPr>
          <w:i/>
          <w:iCs/>
        </w:rPr>
        <w:t>il diritto del lavoratore a ricevere adeguata protezione non è il solo valore in gioco</w:t>
      </w:r>
      <w:r>
        <w:t>” e che la discrezionale attività di impresa non può “</w:t>
      </w:r>
      <w:r w:rsidRPr="00BE5755">
        <w:rPr>
          <w:i/>
          <w:iCs/>
        </w:rPr>
        <w:t>trasformarsi in attività penalmente vincolata, nel suo insieme</w:t>
      </w:r>
      <w:r>
        <w:t>”, dovendosi intendere la formula  “</w:t>
      </w:r>
      <w:r w:rsidRPr="00BE5755">
        <w:rPr>
          <w:i/>
          <w:iCs/>
        </w:rPr>
        <w:t xml:space="preserve">misure </w:t>
      </w:r>
      <w:r w:rsidRPr="00BE5755">
        <w:rPr>
          <w:i/>
          <w:iCs/>
          <w:sz w:val="24"/>
          <w:szCs w:val="24"/>
        </w:rPr>
        <w:t>[…</w:t>
      </w:r>
      <w:r w:rsidRPr="00BE5755">
        <w:rPr>
          <w:rFonts w:ascii="Times New (W1)" w:hAnsi="Times New (W1)" w:cs="Times New (W1)"/>
          <w:i/>
          <w:iCs/>
          <w:sz w:val="24"/>
          <w:szCs w:val="24"/>
        </w:rPr>
        <w:t>]</w:t>
      </w:r>
      <w:r w:rsidRPr="00BE5755">
        <w:rPr>
          <w:i/>
          <w:iCs/>
          <w:sz w:val="24"/>
          <w:szCs w:val="24"/>
        </w:rPr>
        <w:t xml:space="preserve"> </w:t>
      </w:r>
      <w:r w:rsidRPr="00BE5755">
        <w:rPr>
          <w:i/>
          <w:iCs/>
        </w:rPr>
        <w:t>concretamente attuabili</w:t>
      </w:r>
      <w:r>
        <w:t>” come il riferimento che il legislatore ha voluto fare alle “</w:t>
      </w:r>
      <w:r w:rsidRPr="00BE5755">
        <w:rPr>
          <w:i/>
          <w:iCs/>
        </w:rPr>
        <w:t>applicazioni tecnologiche generalmente praticate</w:t>
      </w:r>
      <w:r>
        <w:t>” ed agli “</w:t>
      </w:r>
      <w:r w:rsidRPr="00BE5755">
        <w:rPr>
          <w:i/>
          <w:iCs/>
        </w:rPr>
        <w:t>accorgimenti organizzativi e procedurali altrettanto generalmente acquisiti</w:t>
      </w:r>
      <w:r>
        <w:t>”, così che la  condotta penalmente rilevante sarà dunque solo quella che devia da quegli standard di sicurezza (rispetto a tutti quelli astrattamente applicabili) accolti in concreto (o specificamente prescritti) nei diversi settori di attività produttiva.</w:t>
      </w:r>
    </w:p>
  </w:footnote>
  <w:footnote w:id="12">
    <w:p w:rsidR="00074BC6" w:rsidRDefault="00074BC6" w:rsidP="00AC2D4D">
      <w:pPr>
        <w:tabs>
          <w:tab w:val="left" w:pos="9214"/>
        </w:tabs>
        <w:ind w:right="1983"/>
        <w:jc w:val="both"/>
      </w:pPr>
      <w:r w:rsidRPr="00F071F1">
        <w:rPr>
          <w:rStyle w:val="FootnoteReference"/>
        </w:rPr>
        <w:footnoteRef/>
      </w:r>
      <w:r w:rsidRPr="00F071F1">
        <w:t xml:space="preserve"> Cfr. </w:t>
      </w:r>
      <w:r>
        <w:t xml:space="preserve">Cass., </w:t>
      </w:r>
      <w:r w:rsidRPr="00F071F1">
        <w:t xml:space="preserve">Sez. III, n. 22539, 5 aprile 2002, </w:t>
      </w:r>
      <w:r>
        <w:t>in</w:t>
      </w:r>
      <w:r w:rsidRPr="00BE5755">
        <w:rPr>
          <w:i/>
          <w:iCs/>
        </w:rPr>
        <w:t xml:space="preserve"> CED</w:t>
      </w:r>
      <w:r>
        <w:t>,</w:t>
      </w:r>
      <w:r w:rsidRPr="00F071F1">
        <w:t xml:space="preserve"> </w:t>
      </w:r>
      <w:r>
        <w:t xml:space="preserve">n. </w:t>
      </w:r>
      <w:r w:rsidRPr="00F071F1">
        <w:t>221877</w:t>
      </w:r>
      <w:r>
        <w:t>.</w:t>
      </w:r>
      <w:r w:rsidRPr="00F071F1">
        <w:t xml:space="preserve"> </w:t>
      </w:r>
    </w:p>
  </w:footnote>
  <w:footnote w:id="13">
    <w:p w:rsidR="00074BC6" w:rsidRDefault="00074BC6" w:rsidP="006E3E26">
      <w:pPr>
        <w:pStyle w:val="PlainText"/>
        <w:tabs>
          <w:tab w:val="left" w:pos="8505"/>
        </w:tabs>
        <w:ind w:right="1133"/>
        <w:jc w:val="both"/>
      </w:pPr>
      <w:r>
        <w:rPr>
          <w:rStyle w:val="FootnoteReference"/>
        </w:rPr>
        <w:footnoteRef/>
      </w:r>
      <w:r>
        <w:rPr>
          <w:rFonts w:ascii="Times New Roman" w:eastAsia="MS Mincho" w:hAnsi="Times New Roman" w:cs="Times New Roman"/>
        </w:rPr>
        <w:t xml:space="preserve"> </w:t>
      </w:r>
      <w:r w:rsidRPr="00A97474">
        <w:rPr>
          <w:rFonts w:ascii="Times New Roman" w:eastAsia="MS Mincho" w:hAnsi="Times New Roman" w:cs="Times New Roman"/>
        </w:rPr>
        <w:t>Prevede altresì tale articolo che “</w:t>
      </w:r>
      <w:r>
        <w:rPr>
          <w:rFonts w:ascii="Times New Roman" w:eastAsia="MS Mincho" w:hAnsi="Times New Roman" w:cs="Times New Roman"/>
          <w:i/>
          <w:iCs/>
        </w:rPr>
        <w:t>con la stessa procedura si provvede</w:t>
      </w:r>
      <w:r w:rsidRPr="00A97474">
        <w:rPr>
          <w:rFonts w:ascii="Times New Roman" w:eastAsia="MS Mincho" w:hAnsi="Times New Roman" w:cs="Times New Roman"/>
          <w:i/>
          <w:iCs/>
        </w:rPr>
        <w:t xml:space="preserve"> all'aggiornamento ed alla integrazione delle suddette linee guida, anche sulla base dello scambio di informazioni di cui all'articolo 29-terdecies, commi 3 e 4</w:t>
      </w:r>
      <w:r w:rsidRPr="00A97474">
        <w:rPr>
          <w:rFonts w:ascii="Times New Roman" w:eastAsia="MS Mincho" w:hAnsi="Times New Roman" w:cs="Times New Roman"/>
        </w:rPr>
        <w:t>”</w:t>
      </w:r>
      <w:r>
        <w:rPr>
          <w:rFonts w:ascii="Times New Roman" w:eastAsia="MS Mincho" w:hAnsi="Times New Roman" w:cs="Times New Roman"/>
        </w:rPr>
        <w:t>; inoltre “c</w:t>
      </w:r>
      <w:r>
        <w:rPr>
          <w:rFonts w:ascii="Times New Roman" w:eastAsia="MS Mincho" w:hAnsi="Times New Roman" w:cs="Times New Roman"/>
          <w:i/>
          <w:iCs/>
        </w:rPr>
        <w:t>on decreto del Ministro dell’</w:t>
      </w:r>
      <w:r w:rsidRPr="00A97474">
        <w:rPr>
          <w:rFonts w:ascii="Times New Roman" w:eastAsia="MS Mincho" w:hAnsi="Times New Roman" w:cs="Times New Roman"/>
          <w:i/>
          <w:iCs/>
        </w:rPr>
        <w:t>ambiente e della tutela del territorio e del mare, di concerto con il Ministro dello sviluppo economico, il Ministro del lavoro e delle politiche sociali, il Ministro della salute e d'intesa con la Conferenza permanente per i rapporti tra lo Stato, le regioni e le province autonome di Trento e di Bolzano, possono essere determinati i requisiti per talune categorie di impianti, che t</w:t>
      </w:r>
      <w:r>
        <w:rPr>
          <w:rFonts w:ascii="Times New Roman" w:eastAsia="MS Mincho" w:hAnsi="Times New Roman" w:cs="Times New Roman"/>
          <w:i/>
          <w:iCs/>
        </w:rPr>
        <w:t xml:space="preserve">engano luogo dei corrispondenti </w:t>
      </w:r>
      <w:r w:rsidRPr="00A97474">
        <w:rPr>
          <w:rFonts w:ascii="Times New Roman" w:eastAsia="MS Mincho" w:hAnsi="Times New Roman" w:cs="Times New Roman"/>
          <w:i/>
          <w:iCs/>
        </w:rPr>
        <w:t>requisiti fissati per ogni singola autorizzazione, purché siano garantiti un approccio integrato ed una elevata protezione equivalente dell'ambiente nel suo complesso. Per le discariche di rifiuti da autorizzare ai sensi del presente titolo, si considerano soddisfatti i requisiti tecnici di cui al presente titolo se sono soddisfatti i requisiti tecnici di cui al decreto legis</w:t>
      </w:r>
      <w:r>
        <w:rPr>
          <w:rFonts w:ascii="Times New Roman" w:eastAsia="MS Mincho" w:hAnsi="Times New Roman" w:cs="Times New Roman"/>
          <w:i/>
          <w:iCs/>
        </w:rPr>
        <w:t>lativo 13 gennaio 2003, n. 36”.</w:t>
      </w:r>
      <w:r>
        <w:t xml:space="preserve"> </w:t>
      </w:r>
    </w:p>
  </w:footnote>
  <w:footnote w:id="14">
    <w:p w:rsidR="00074BC6" w:rsidRPr="009508E8" w:rsidRDefault="00074BC6" w:rsidP="006E3E26">
      <w:pPr>
        <w:pStyle w:val="PlainText"/>
        <w:tabs>
          <w:tab w:val="left" w:pos="8505"/>
        </w:tabs>
        <w:ind w:right="1133"/>
        <w:jc w:val="both"/>
        <w:rPr>
          <w:rFonts w:ascii="Times New Roman" w:eastAsia="MS Mincho" w:hAnsi="Times New Roman"/>
        </w:rPr>
      </w:pPr>
      <w:r>
        <w:rPr>
          <w:rStyle w:val="FootnoteReference"/>
        </w:rPr>
        <w:footnoteRef/>
      </w:r>
      <w:r>
        <w:t xml:space="preserve"> </w:t>
      </w:r>
      <w:r w:rsidRPr="009508E8">
        <w:rPr>
          <w:rFonts w:ascii="Times New Roman" w:eastAsia="MS Mincho" w:hAnsi="Times New Roman" w:cs="Times New Roman"/>
        </w:rPr>
        <w:t>Finalità precisate nei seguenti</w:t>
      </w:r>
      <w:r>
        <w:rPr>
          <w:rFonts w:ascii="Times New Roman" w:eastAsia="MS Mincho" w:hAnsi="Times New Roman" w:cs="Times New Roman"/>
        </w:rPr>
        <w:t xml:space="preserve"> termini ovvero </w:t>
      </w:r>
      <w:r w:rsidRPr="009508E8">
        <w:rPr>
          <w:rFonts w:ascii="Times New Roman" w:eastAsia="MS Mincho" w:hAnsi="Times New Roman" w:cs="Times New Roman"/>
        </w:rPr>
        <w:t>“</w:t>
      </w:r>
      <w:r w:rsidRPr="009508E8">
        <w:rPr>
          <w:rFonts w:ascii="Times New Roman" w:eastAsia="MS Mincho" w:hAnsi="Times New Roman" w:cs="Times New Roman"/>
          <w:i/>
          <w:iCs/>
        </w:rPr>
        <w:t>realizzare l'autosufficienza nello smaltimento dei rifiuti urbani non pericolosi e dei rifiuti del loro trattamento in ambiti territoriali ottimali; permettere lo smaltimento dei rifiuti ed il recupero dei rifiuti urbani indifferenziati in uno degli impianti idonei più vicini ai luoghi di produzione o raccolta, al fine di ridurre i movimenti dei rifiuti stessi, tenendo conto del contesto geografico o della necessità di impianti specializzati per determinati tipi di rifiuti; utilizzare i metodi e le tecnologie più idonei a garantire un alto grado di protezione dell'a</w:t>
      </w:r>
      <w:r>
        <w:rPr>
          <w:rFonts w:ascii="Times New Roman" w:eastAsia="MS Mincho" w:hAnsi="Times New Roman" w:cs="Times New Roman"/>
          <w:i/>
          <w:iCs/>
        </w:rPr>
        <w:t>mbiente e della salute pubblica</w:t>
      </w:r>
      <w:r w:rsidRPr="009508E8">
        <w:rPr>
          <w:rFonts w:ascii="Times New Roman" w:eastAsia="MS Mincho" w:hAnsi="Times New Roman" w:cs="Times New Roman"/>
          <w:i/>
          <w:iCs/>
        </w:rPr>
        <w:t>”</w:t>
      </w:r>
      <w:r>
        <w:rPr>
          <w:rFonts w:ascii="Times New Roman" w:eastAsia="MS Mincho" w:hAnsi="Times New Roman" w:cs="Times New Roman"/>
          <w:i/>
          <w:iCs/>
        </w:rPr>
        <w:t>.</w:t>
      </w:r>
    </w:p>
    <w:p w:rsidR="00074BC6" w:rsidRDefault="00074BC6" w:rsidP="006E3E26">
      <w:pPr>
        <w:pStyle w:val="PlainText"/>
        <w:tabs>
          <w:tab w:val="left" w:pos="8505"/>
        </w:tabs>
        <w:ind w:right="1133"/>
        <w:jc w:val="both"/>
      </w:pPr>
    </w:p>
  </w:footnote>
  <w:footnote w:id="15">
    <w:p w:rsidR="00074BC6" w:rsidRDefault="00074BC6" w:rsidP="00AC2D4D">
      <w:pPr>
        <w:overflowPunct/>
        <w:autoSpaceDE/>
        <w:autoSpaceDN/>
        <w:adjustRightInd/>
        <w:ind w:right="374"/>
        <w:textAlignment w:val="auto"/>
      </w:pPr>
      <w:r w:rsidRPr="00D52E16">
        <w:rPr>
          <w:rStyle w:val="FootnoteReference"/>
        </w:rPr>
        <w:footnoteRef/>
      </w:r>
      <w:r w:rsidRPr="00D52E16">
        <w:t xml:space="preserve"> </w:t>
      </w:r>
      <w:r>
        <w:t>Così T.A.R. PIEMONTE, Sez. I,</w:t>
      </w:r>
      <w:r w:rsidRPr="00D52E16">
        <w:t xml:space="preserve"> 15 gennaio 2010, n. 214, in </w:t>
      </w:r>
      <w:hyperlink r:id="rId3" w:history="1">
        <w:r w:rsidRPr="0092330B">
          <w:rPr>
            <w:rStyle w:val="Hyperlink"/>
            <w:i/>
            <w:iCs/>
            <w:color w:val="auto"/>
          </w:rPr>
          <w:t>www.ambientediritto.it</w:t>
        </w:r>
      </w:hyperlink>
      <w:r w:rsidRPr="00D52E16">
        <w:t xml:space="preserve"> </w:t>
      </w:r>
    </w:p>
  </w:footnote>
  <w:footnote w:id="16">
    <w:p w:rsidR="00074BC6" w:rsidRDefault="00074BC6" w:rsidP="006E3E26">
      <w:pPr>
        <w:tabs>
          <w:tab w:val="left" w:pos="8505"/>
        </w:tabs>
        <w:ind w:right="1133"/>
        <w:jc w:val="both"/>
      </w:pPr>
      <w:r w:rsidRPr="0092330B">
        <w:rPr>
          <w:rStyle w:val="FootnoteReference"/>
          <w:b/>
          <w:bCs/>
        </w:rPr>
        <w:footnoteRef/>
      </w:r>
      <w:r w:rsidRPr="00D52E16">
        <w:t xml:space="preserve"> Tale prospettiva interpretativa è stata tuttavia già esclusa dalla </w:t>
      </w:r>
      <w:r>
        <w:t xml:space="preserve">C. Cost., 16 marzo 1990, n. 127,  in </w:t>
      </w:r>
      <w:r w:rsidRPr="0092330B">
        <w:rPr>
          <w:i/>
          <w:iCs/>
        </w:rPr>
        <w:t>Foro it.</w:t>
      </w:r>
      <w:r>
        <w:t xml:space="preserve"> 1991, I, 36 secondo cui </w:t>
      </w:r>
      <w:r w:rsidRPr="00D52E16">
        <w:t>“</w:t>
      </w:r>
      <w:r>
        <w:rPr>
          <w:i/>
          <w:iCs/>
        </w:rPr>
        <w:t>è</w:t>
      </w:r>
      <w:r w:rsidRPr="00A11201">
        <w:rPr>
          <w:i/>
          <w:iCs/>
        </w:rPr>
        <w:t xml:space="preserve"> infondata,  nei sensi  di  cui  in motivazione,  la  questione  di legittimità costituzionale  del  combinato  disposto degli  art. 674 c.p. e  2 n. 7  d.P.R. 24 maggio  1988  n. 203, nella  parte  in. cui escluderebbe la  configurabilità  del reato di cui all'art. 674 c.p. nei  confronti del  titolare  di un impianto industriale che, a causa dei  costi eccessivi, non adotti le misure tecnologiche più avanzate per la  riduzione delle emissioni inquinanti prodotte, atteso che il limite del costo eccessiv</w:t>
      </w:r>
      <w:r>
        <w:rPr>
          <w:i/>
          <w:iCs/>
        </w:rPr>
        <w:t>o viene in causa soltanto quando</w:t>
      </w:r>
      <w:r w:rsidRPr="00A11201">
        <w:rPr>
          <w:i/>
          <w:iCs/>
        </w:rPr>
        <w:t xml:space="preserve"> il limite massimo di emissione inquinante non sia superiore a quello assoluto  ed  indefettibile rappresentato dalla tollerabilità per la tutela della salute e d</w:t>
      </w:r>
      <w:r>
        <w:rPr>
          <w:i/>
          <w:iCs/>
        </w:rPr>
        <w:t>ell'ambiente in cui l’uomo vive</w:t>
      </w:r>
      <w:r>
        <w:t xml:space="preserve">”. </w:t>
      </w:r>
    </w:p>
  </w:footnote>
  <w:footnote w:id="17">
    <w:p w:rsidR="00074BC6" w:rsidRDefault="00074BC6" w:rsidP="006E3E26">
      <w:pPr>
        <w:pStyle w:val="FootnoteText"/>
        <w:tabs>
          <w:tab w:val="left" w:pos="8505"/>
        </w:tabs>
        <w:ind w:right="1133"/>
        <w:jc w:val="both"/>
      </w:pPr>
      <w:r>
        <w:rPr>
          <w:rStyle w:val="FootnoteReference"/>
        </w:rPr>
        <w:footnoteRef/>
      </w:r>
      <w:r>
        <w:t xml:space="preserve"> Così G.</w:t>
      </w:r>
      <w:r>
        <w:rPr>
          <w:rFonts w:eastAsia="MS Mincho"/>
        </w:rPr>
        <w:t xml:space="preserve"> Sabatini, </w:t>
      </w:r>
      <w:r w:rsidRPr="00A11201">
        <w:rPr>
          <w:rFonts w:eastAsia="MS Mincho"/>
          <w:i/>
          <w:iCs/>
        </w:rPr>
        <w:t>Osservazioni su inesigibilità, fortuito e colpa nei reati ambientali</w:t>
      </w:r>
      <w:r>
        <w:rPr>
          <w:rFonts w:eastAsia="MS Mincho"/>
        </w:rPr>
        <w:t xml:space="preserve">, in </w:t>
      </w:r>
      <w:r w:rsidRPr="006B2CBD">
        <w:rPr>
          <w:rFonts w:eastAsia="MS Mincho"/>
          <w:i/>
          <w:iCs/>
        </w:rPr>
        <w:t>Cass. pen.</w:t>
      </w:r>
      <w:r>
        <w:rPr>
          <w:rFonts w:eastAsia="MS Mincho"/>
        </w:rPr>
        <w:t>, 2005, 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5BF4"/>
    <w:multiLevelType w:val="multilevel"/>
    <w:tmpl w:val="227E92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8C4FE7"/>
    <w:multiLevelType w:val="hybridMultilevel"/>
    <w:tmpl w:val="66E280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4304B7"/>
    <w:multiLevelType w:val="hybridMultilevel"/>
    <w:tmpl w:val="BD88B6D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68E01B99"/>
    <w:multiLevelType w:val="hybridMultilevel"/>
    <w:tmpl w:val="227E9210"/>
    <w:lvl w:ilvl="0" w:tplc="3E1AC5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261D1A"/>
    <w:multiLevelType w:val="hybridMultilevel"/>
    <w:tmpl w:val="4ED0195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1DF"/>
    <w:rsid w:val="000028EA"/>
    <w:rsid w:val="00074BC6"/>
    <w:rsid w:val="00075B4B"/>
    <w:rsid w:val="000D509F"/>
    <w:rsid w:val="00196D43"/>
    <w:rsid w:val="0028667D"/>
    <w:rsid w:val="002D15EA"/>
    <w:rsid w:val="0034230D"/>
    <w:rsid w:val="003741CD"/>
    <w:rsid w:val="003A236F"/>
    <w:rsid w:val="003D2BF1"/>
    <w:rsid w:val="004035C4"/>
    <w:rsid w:val="00453A6C"/>
    <w:rsid w:val="004E0A72"/>
    <w:rsid w:val="005528D7"/>
    <w:rsid w:val="005579FA"/>
    <w:rsid w:val="005B0A4F"/>
    <w:rsid w:val="00631D47"/>
    <w:rsid w:val="006B2CBD"/>
    <w:rsid w:val="006D2D69"/>
    <w:rsid w:val="006E3E26"/>
    <w:rsid w:val="00707CB0"/>
    <w:rsid w:val="007A64FF"/>
    <w:rsid w:val="00837C93"/>
    <w:rsid w:val="008571DF"/>
    <w:rsid w:val="00883101"/>
    <w:rsid w:val="0092330B"/>
    <w:rsid w:val="009366B7"/>
    <w:rsid w:val="00936912"/>
    <w:rsid w:val="009508E8"/>
    <w:rsid w:val="00951C46"/>
    <w:rsid w:val="00987212"/>
    <w:rsid w:val="009929C4"/>
    <w:rsid w:val="009D22B2"/>
    <w:rsid w:val="00A00510"/>
    <w:rsid w:val="00A11201"/>
    <w:rsid w:val="00A24345"/>
    <w:rsid w:val="00A3587E"/>
    <w:rsid w:val="00A97474"/>
    <w:rsid w:val="00AA3034"/>
    <w:rsid w:val="00AB44A4"/>
    <w:rsid w:val="00AC2D4D"/>
    <w:rsid w:val="00AD241C"/>
    <w:rsid w:val="00BE5755"/>
    <w:rsid w:val="00C24026"/>
    <w:rsid w:val="00C37D50"/>
    <w:rsid w:val="00CB624A"/>
    <w:rsid w:val="00D52E16"/>
    <w:rsid w:val="00E204E6"/>
    <w:rsid w:val="00E7752F"/>
    <w:rsid w:val="00E90466"/>
    <w:rsid w:val="00EC45B1"/>
    <w:rsid w:val="00EF4EA3"/>
    <w:rsid w:val="00EF66DD"/>
    <w:rsid w:val="00F071F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DF"/>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5579FA"/>
    <w:pPr>
      <w:keepNext/>
      <w:overflowPunct/>
      <w:autoSpaceDE/>
      <w:autoSpaceDN/>
      <w:adjustRightInd/>
      <w:ind w:right="1700"/>
      <w:jc w:val="both"/>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79FA"/>
    <w:rPr>
      <w:rFonts w:eastAsia="Times New Roman"/>
      <w:b/>
      <w:bCs/>
      <w:sz w:val="24"/>
      <w:szCs w:val="24"/>
    </w:rPr>
  </w:style>
  <w:style w:type="paragraph" w:styleId="FootnoteText">
    <w:name w:val="footnote text"/>
    <w:basedOn w:val="Normal"/>
    <w:link w:val="FootnoteTextChar"/>
    <w:uiPriority w:val="99"/>
    <w:semiHidden/>
    <w:rsid w:val="008571DF"/>
  </w:style>
  <w:style w:type="character" w:customStyle="1" w:styleId="FootnoteTextChar">
    <w:name w:val="Footnote Text Char"/>
    <w:basedOn w:val="DefaultParagraphFont"/>
    <w:link w:val="FootnoteText"/>
    <w:uiPriority w:val="99"/>
    <w:semiHidden/>
    <w:rsid w:val="008571DF"/>
  </w:style>
  <w:style w:type="character" w:styleId="FootnoteReference">
    <w:name w:val="footnote reference"/>
    <w:basedOn w:val="DefaultParagraphFont"/>
    <w:uiPriority w:val="99"/>
    <w:semiHidden/>
    <w:rsid w:val="008571DF"/>
    <w:rPr>
      <w:vertAlign w:val="superscript"/>
    </w:rPr>
  </w:style>
  <w:style w:type="character" w:styleId="Hyperlink">
    <w:name w:val="Hyperlink"/>
    <w:basedOn w:val="DefaultParagraphFont"/>
    <w:uiPriority w:val="99"/>
    <w:rsid w:val="008571DF"/>
    <w:rPr>
      <w:color w:val="0000FF"/>
      <w:u w:val="single"/>
    </w:rPr>
  </w:style>
  <w:style w:type="paragraph" w:styleId="BodyText3">
    <w:name w:val="Body Text 3"/>
    <w:basedOn w:val="Normal"/>
    <w:link w:val="BodyText3Char"/>
    <w:uiPriority w:val="99"/>
    <w:semiHidden/>
    <w:rsid w:val="008571DF"/>
    <w:pPr>
      <w:tabs>
        <w:tab w:val="left" w:pos="8505"/>
      </w:tabs>
      <w:overflowPunct/>
      <w:autoSpaceDE/>
      <w:autoSpaceDN/>
      <w:adjustRightInd/>
      <w:ind w:right="551"/>
      <w:jc w:val="both"/>
      <w:textAlignment w:val="auto"/>
    </w:pPr>
    <w:rPr>
      <w:b/>
      <w:bCs/>
      <w:sz w:val="28"/>
      <w:szCs w:val="28"/>
    </w:rPr>
  </w:style>
  <w:style w:type="character" w:customStyle="1" w:styleId="BodyText3Char">
    <w:name w:val="Body Text 3 Char"/>
    <w:basedOn w:val="DefaultParagraphFont"/>
    <w:link w:val="BodyText3"/>
    <w:uiPriority w:val="99"/>
    <w:semiHidden/>
    <w:rsid w:val="008571DF"/>
    <w:rPr>
      <w:b/>
      <w:bCs/>
      <w:sz w:val="24"/>
      <w:szCs w:val="24"/>
    </w:rPr>
  </w:style>
  <w:style w:type="paragraph" w:styleId="NormalWeb">
    <w:name w:val="Normal (Web)"/>
    <w:basedOn w:val="Normal"/>
    <w:uiPriority w:val="99"/>
    <w:semiHidden/>
    <w:rsid w:val="008571DF"/>
    <w:pPr>
      <w:overflowPunct/>
      <w:autoSpaceDE/>
      <w:autoSpaceDN/>
      <w:adjustRightInd/>
      <w:spacing w:before="100" w:beforeAutospacing="1" w:after="100" w:afterAutospacing="1"/>
      <w:textAlignment w:val="auto"/>
    </w:pPr>
    <w:rPr>
      <w:rFonts w:ascii="Arial Unicode MS" w:eastAsia="Arial Unicode MS" w:cs="Arial Unicode MS"/>
      <w:sz w:val="24"/>
      <w:szCs w:val="24"/>
    </w:rPr>
  </w:style>
  <w:style w:type="paragraph" w:styleId="ListParagraph">
    <w:name w:val="List Paragraph"/>
    <w:basedOn w:val="Normal"/>
    <w:uiPriority w:val="99"/>
    <w:qFormat/>
    <w:rsid w:val="00E204E6"/>
    <w:pPr>
      <w:ind w:left="720"/>
      <w:contextualSpacing/>
    </w:pPr>
  </w:style>
  <w:style w:type="paragraph" w:styleId="PlainText">
    <w:name w:val="Plain Text"/>
    <w:basedOn w:val="Normal"/>
    <w:link w:val="PlainTextChar"/>
    <w:uiPriority w:val="99"/>
    <w:semiHidden/>
    <w:rsid w:val="005579FA"/>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5579FA"/>
    <w:rPr>
      <w:rFonts w:ascii="Courier New" w:hAnsi="Courier New" w:cs="Courier New"/>
    </w:rPr>
  </w:style>
  <w:style w:type="character" w:customStyle="1" w:styleId="label">
    <w:name w:val="label"/>
    <w:basedOn w:val="DefaultParagraphFont"/>
    <w:uiPriority w:val="99"/>
    <w:rsid w:val="000028EA"/>
    <w:rPr>
      <w:i/>
      <w:iCs/>
    </w:rPr>
  </w:style>
  <w:style w:type="character" w:customStyle="1" w:styleId="key-hit">
    <w:name w:val="key-hit"/>
    <w:basedOn w:val="DefaultParagraphFont"/>
    <w:uiPriority w:val="99"/>
    <w:rsid w:val="000028EA"/>
    <w:rPr>
      <w:color w:val="FF0000"/>
    </w:rPr>
  </w:style>
  <w:style w:type="paragraph" w:customStyle="1" w:styleId="liscio">
    <w:name w:val="liscio"/>
    <w:basedOn w:val="Normal"/>
    <w:uiPriority w:val="99"/>
    <w:rsid w:val="000028EA"/>
    <w:pPr>
      <w:overflowPunct/>
      <w:autoSpaceDE/>
      <w:autoSpaceDN/>
      <w:adjustRightInd/>
      <w:spacing w:before="100" w:beforeAutospacing="1" w:after="100" w:afterAutospacing="1"/>
      <w:textAlignment w:val="auto"/>
    </w:pPr>
    <w:rPr>
      <w:sz w:val="24"/>
      <w:szCs w:val="24"/>
    </w:rPr>
  </w:style>
  <w:style w:type="character" w:customStyle="1" w:styleId="risultato">
    <w:name w:val="risultato"/>
    <w:basedOn w:val="DefaultParagraphFont"/>
    <w:uiPriority w:val="99"/>
    <w:rsid w:val="000028EA"/>
  </w:style>
  <w:style w:type="character" w:customStyle="1" w:styleId="liscio1">
    <w:name w:val="liscio1"/>
    <w:basedOn w:val="DefaultParagraphFont"/>
    <w:uiPriority w:val="99"/>
    <w:rsid w:val="000028EA"/>
  </w:style>
  <w:style w:type="table" w:styleId="TableGrid">
    <w:name w:val="Table Grid"/>
    <w:basedOn w:val="TableNormal"/>
    <w:uiPriority w:val="99"/>
    <w:rsid w:val="000D50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013542">
      <w:marLeft w:val="0"/>
      <w:marRight w:val="0"/>
      <w:marTop w:val="0"/>
      <w:marBottom w:val="0"/>
      <w:divBdr>
        <w:top w:val="none" w:sz="0" w:space="0" w:color="auto"/>
        <w:left w:val="none" w:sz="0" w:space="0" w:color="auto"/>
        <w:bottom w:val="none" w:sz="0" w:space="0" w:color="auto"/>
        <w:right w:val="none" w:sz="0" w:space="0" w:color="auto"/>
      </w:divBdr>
      <w:divsChild>
        <w:div w:id="1109013547">
          <w:marLeft w:val="0"/>
          <w:marRight w:val="0"/>
          <w:marTop w:val="1050"/>
          <w:marBottom w:val="0"/>
          <w:divBdr>
            <w:top w:val="none" w:sz="0" w:space="0" w:color="auto"/>
            <w:left w:val="none" w:sz="0" w:space="0" w:color="auto"/>
            <w:bottom w:val="none" w:sz="0" w:space="0" w:color="auto"/>
            <w:right w:val="none" w:sz="0" w:space="0" w:color="auto"/>
          </w:divBdr>
          <w:divsChild>
            <w:div w:id="1109013544">
              <w:marLeft w:val="0"/>
              <w:marRight w:val="0"/>
              <w:marTop w:val="0"/>
              <w:marBottom w:val="0"/>
              <w:divBdr>
                <w:top w:val="none" w:sz="0" w:space="0" w:color="auto"/>
                <w:left w:val="none" w:sz="0" w:space="0" w:color="auto"/>
                <w:bottom w:val="none" w:sz="0" w:space="0" w:color="auto"/>
                <w:right w:val="none" w:sz="0" w:space="0" w:color="auto"/>
              </w:divBdr>
              <w:divsChild>
                <w:div w:id="1109013548">
                  <w:marLeft w:val="0"/>
                  <w:marRight w:val="0"/>
                  <w:marTop w:val="0"/>
                  <w:marBottom w:val="0"/>
                  <w:divBdr>
                    <w:top w:val="none" w:sz="0" w:space="0" w:color="auto"/>
                    <w:left w:val="none" w:sz="0" w:space="0" w:color="auto"/>
                    <w:bottom w:val="none" w:sz="0" w:space="0" w:color="auto"/>
                    <w:right w:val="none" w:sz="0" w:space="0" w:color="auto"/>
                  </w:divBdr>
                  <w:divsChild>
                    <w:div w:id="11090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13546">
      <w:marLeft w:val="0"/>
      <w:marRight w:val="0"/>
      <w:marTop w:val="0"/>
      <w:marBottom w:val="0"/>
      <w:divBdr>
        <w:top w:val="none" w:sz="0" w:space="0" w:color="auto"/>
        <w:left w:val="none" w:sz="0" w:space="0" w:color="auto"/>
        <w:bottom w:val="none" w:sz="0" w:space="0" w:color="auto"/>
        <w:right w:val="none" w:sz="0" w:space="0" w:color="auto"/>
      </w:divBdr>
      <w:divsChild>
        <w:div w:id="1109013540">
          <w:marLeft w:val="0"/>
          <w:marRight w:val="0"/>
          <w:marTop w:val="1050"/>
          <w:marBottom w:val="0"/>
          <w:divBdr>
            <w:top w:val="none" w:sz="0" w:space="0" w:color="auto"/>
            <w:left w:val="none" w:sz="0" w:space="0" w:color="auto"/>
            <w:bottom w:val="none" w:sz="0" w:space="0" w:color="auto"/>
            <w:right w:val="none" w:sz="0" w:space="0" w:color="auto"/>
          </w:divBdr>
          <w:divsChild>
            <w:div w:id="1109013545">
              <w:marLeft w:val="0"/>
              <w:marRight w:val="0"/>
              <w:marTop w:val="0"/>
              <w:marBottom w:val="0"/>
              <w:divBdr>
                <w:top w:val="none" w:sz="0" w:space="0" w:color="auto"/>
                <w:left w:val="none" w:sz="0" w:space="0" w:color="auto"/>
                <w:bottom w:val="none" w:sz="0" w:space="0" w:color="auto"/>
                <w:right w:val="none" w:sz="0" w:space="0" w:color="auto"/>
              </w:divBdr>
              <w:divsChild>
                <w:div w:id="1109013541">
                  <w:marLeft w:val="0"/>
                  <w:marRight w:val="0"/>
                  <w:marTop w:val="0"/>
                  <w:marBottom w:val="0"/>
                  <w:divBdr>
                    <w:top w:val="none" w:sz="0" w:space="0" w:color="auto"/>
                    <w:left w:val="none" w:sz="0" w:space="0" w:color="auto"/>
                    <w:bottom w:val="none" w:sz="0" w:space="0" w:color="auto"/>
                    <w:right w:val="none" w:sz="0" w:space="0" w:color="auto"/>
                  </w:divBdr>
                  <w:divsChild>
                    <w:div w:id="11090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mbientediritto.it" TargetMode="External"/><Relationship Id="rId2" Type="http://schemas.openxmlformats.org/officeDocument/2006/relationships/hyperlink" Target="http://www.ambienteediritto.it" TargetMode="External"/><Relationship Id="rId1" Type="http://schemas.openxmlformats.org/officeDocument/2006/relationships/hyperlink" Target="http://www.ambienteedirit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3623</Words>
  <Characters>20653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Tutela dell’aria: la responsabilità per condotte omissive</dc:title>
  <dc:subject/>
  <dc:creator>cesare.parodi</dc:creator>
  <cp:keywords/>
  <dc:description/>
  <cp:lastModifiedBy>Acer</cp:lastModifiedBy>
  <cp:revision>3</cp:revision>
  <cp:lastPrinted>2011-11-24T16:00:00Z</cp:lastPrinted>
  <dcterms:created xsi:type="dcterms:W3CDTF">2011-12-22T15:11:00Z</dcterms:created>
  <dcterms:modified xsi:type="dcterms:W3CDTF">2012-01-25T17:05:00Z</dcterms:modified>
</cp:coreProperties>
</file>